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22, 2026</w:t>
            </w:r>
          </w:p>
        </w:tc>
        <w:tc>
          <w:tcPr>
            <w:tcW w:w="29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Registration No. 333-249809</w:t>
            </w:r>
          </w:p>
        </w:tc>
      </w:tr>
      <w:tr>
        <w:trPr>
          <w:trHeight w:val="250"/>
        </w:trPr>
        <w:tc>
          <w:tcPr>
            <w:tcW w:w="832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tcPr>
          <w:p>
            <w:pPr>
              <w:spacing w:after="0"/>
              <w:rPr>
                <w:sz w:val="21"/>
                <w:szCs w:val="21"/>
                <w:color w:val="auto"/>
              </w:rPr>
            </w:pPr>
          </w:p>
        </w:tc>
      </w:tr>
      <w:tr>
        <w:trPr>
          <w:trHeight w:val="410"/>
        </w:trPr>
        <w:tc>
          <w:tcPr>
            <w:tcW w:w="832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2920" w:type="dxa"/>
            <w:vAlign w:val="bottom"/>
          </w:tcPr>
          <w:p>
            <w:pPr>
              <w:spacing w:after="0"/>
              <w:rPr>
                <w:sz w:val="24"/>
                <w:szCs w:val="24"/>
                <w:color w:val="auto"/>
              </w:rPr>
            </w:pPr>
          </w:p>
        </w:tc>
      </w:tr>
      <w:tr>
        <w:trPr>
          <w:trHeight w:val="216"/>
        </w:trPr>
        <w:tc>
          <w:tcPr>
            <w:tcW w:w="832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2920" w:type="dxa"/>
            <w:vAlign w:val="bottom"/>
          </w:tcPr>
          <w:p>
            <w:pPr>
              <w:spacing w:after="0"/>
              <w:rPr>
                <w:sz w:val="18"/>
                <w:szCs w:val="18"/>
                <w:color w:val="auto"/>
              </w:rPr>
            </w:pPr>
          </w:p>
        </w:tc>
      </w:tr>
      <w:tr>
        <w:trPr>
          <w:trHeight w:val="238"/>
        </w:trPr>
        <w:tc>
          <w:tcPr>
            <w:tcW w:w="8320" w:type="dxa"/>
            <w:vAlign w:val="bottom"/>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___________________________________</w:t>
            </w:r>
          </w:p>
        </w:tc>
        <w:tc>
          <w:tcPr>
            <w:tcW w:w="29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 FOR AMERICAN DEPOSITARY SHARES EVIDENCED BY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PURETECH HEALTH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issuer of deposited securities as specified in its charter)</w:t>
      </w:r>
    </w:p>
    <w:p>
      <w:pPr>
        <w:spacing w:after="0" w:line="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issuer’s name into English)</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England and Wales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 of issuer</w:t>
      </w:r>
      <w:r>
        <w:rPr>
          <w:rFonts w:ascii="Times New Roman" w:cs="Times New Roman" w:eastAsia="Times New Roman" w:hAnsi="Times New Roman"/>
          <w:sz w:val="18"/>
          <w:szCs w:val="18"/>
          <w:b w:val="1"/>
          <w:bCs w:val="1"/>
          <w:color w:val="auto"/>
        </w:rPr>
        <w:t>)</w:t>
      </w:r>
    </w:p>
    <w:p>
      <w:pPr>
        <w:spacing w:after="0" w:line="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depositary as specified in its charter</w:t>
      </w:r>
      <w:r>
        <w:rPr>
          <w:rFonts w:ascii="Times New Roman" w:cs="Times New Roman" w:eastAsia="Times New Roman" w:hAnsi="Times New Roman"/>
          <w:sz w:val="18"/>
          <w:szCs w:val="18"/>
          <w:b w:val="1"/>
          <w:bCs w:val="1"/>
          <w:color w:val="auto"/>
        </w:rPr>
        <w:t>)</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(877) 248-4237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depositary’s principal executive offices)</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PureTech Health LLC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 Tide Street, Suite 400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(617) 482-2333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agent for service)</w:t>
      </w:r>
    </w:p>
    <w:p>
      <w:pPr>
        <w:spacing w:after="0" w:line="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00" w:type="dxa"/>
            <w:vAlign w:val="bottom"/>
            <w:gridSpan w:val="4"/>
            <w:vMerge w:val="restart"/>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rPr>
              <w:t>Peter N. Handrinos</w:t>
            </w:r>
          </w:p>
        </w:tc>
        <w:tc>
          <w:tcPr>
            <w:tcW w:w="1480" w:type="dxa"/>
            <w:vAlign w:val="bottom"/>
          </w:tcPr>
          <w:p>
            <w:pPr>
              <w:spacing w:after="0"/>
              <w:rPr>
                <w:sz w:val="20"/>
                <w:szCs w:val="20"/>
                <w:color w:val="auto"/>
              </w:rPr>
            </w:pPr>
          </w:p>
        </w:tc>
        <w:tc>
          <w:tcPr>
            <w:tcW w:w="2120" w:type="dxa"/>
            <w:vAlign w:val="bottom"/>
            <w:gridSpan w:val="2"/>
          </w:tcPr>
          <w:p>
            <w:pPr>
              <w:jc w:val="center"/>
              <w:ind w:right="1090"/>
              <w:spacing w:after="0"/>
              <w:rPr>
                <w:sz w:val="20"/>
                <w:szCs w:val="20"/>
                <w:color w:val="auto"/>
              </w:rPr>
            </w:pPr>
            <w:r>
              <w:rPr>
                <w:rFonts w:ascii="Times New Roman" w:cs="Times New Roman" w:eastAsia="Times New Roman" w:hAnsi="Times New Roman"/>
                <w:sz w:val="18"/>
                <w:szCs w:val="18"/>
                <w:color w:val="auto"/>
              </w:rPr>
              <w:t>Copies to:</w:t>
            </w:r>
          </w:p>
        </w:tc>
        <w:tc>
          <w:tcPr>
            <w:tcW w:w="180" w:type="dxa"/>
            <w:vAlign w:val="bottom"/>
          </w:tcPr>
          <w:p>
            <w:pPr>
              <w:spacing w:after="0"/>
              <w:rPr>
                <w:sz w:val="20"/>
                <w:szCs w:val="20"/>
                <w:color w:val="auto"/>
              </w:rPr>
            </w:pPr>
          </w:p>
        </w:tc>
        <w:tc>
          <w:tcPr>
            <w:tcW w:w="2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Herman H. Raspé, Esq.</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900" w:type="dxa"/>
            <w:vAlign w:val="bottom"/>
            <w:gridSpan w:val="4"/>
            <w:vMerge w:val="continue"/>
          </w:tcPr>
          <w:p>
            <w:pPr>
              <w:spacing w:after="0"/>
              <w:rPr>
                <w:sz w:val="16"/>
                <w:szCs w:val="16"/>
                <w:color w:val="auto"/>
              </w:rPr>
            </w:pP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00" w:type="dxa"/>
            <w:vAlign w:val="bottom"/>
            <w:gridSpan w:val="4"/>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rPr>
              <w:t>Elisabeth M. Martin</w:t>
            </w: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Jean-Claude Lanza, Esq.</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80" w:type="dxa"/>
            <w:vAlign w:val="bottom"/>
            <w:gridSpan w:val="5"/>
          </w:tcPr>
          <w:p>
            <w:pPr>
              <w:jc w:val="center"/>
              <w:ind w:right="207"/>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c>
          <w:tcPr>
            <w:tcW w:w="380" w:type="dxa"/>
            <w:vAlign w:val="bottom"/>
          </w:tcPr>
          <w:p>
            <w:pPr>
              <w:spacing w:after="0"/>
              <w:rPr>
                <w:sz w:val="18"/>
                <w:szCs w:val="18"/>
                <w:color w:val="auto"/>
              </w:rPr>
            </w:pPr>
          </w:p>
        </w:tc>
        <w:tc>
          <w:tcPr>
            <w:tcW w:w="570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Patterson Belknap Webb &amp; Tyler LLP</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00" w:type="dxa"/>
            <w:vAlign w:val="bottom"/>
            <w:gridSpan w:val="4"/>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200 Clarendon Street</w:t>
            </w: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1133 Avenue of the Americas</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00" w:type="dxa"/>
            <w:vAlign w:val="bottom"/>
            <w:gridSpan w:val="4"/>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Boston, MA 02116</w:t>
            </w: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New York, New York 10036</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gridSpan w:val="4"/>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(617) 948-6000</w:t>
            </w: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(212) 336-2000</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80" w:type="dxa"/>
            <w:vAlign w:val="bottom"/>
            <w:gridSpan w:val="5"/>
          </w:tcPr>
          <w:p>
            <w:pPr>
              <w:jc w:val="center"/>
              <w:ind w:right="1690"/>
              <w:spacing w:after="0"/>
              <w:rPr>
                <w:sz w:val="20"/>
                <w:szCs w:val="20"/>
                <w:color w:val="auto"/>
              </w:rPr>
            </w:pPr>
            <w:r>
              <w:rPr>
                <w:rFonts w:ascii="Times New Roman" w:cs="Times New Roman" w:eastAsia="Times New Roman" w:hAnsi="Times New Roman"/>
                <w:sz w:val="22"/>
                <w:szCs w:val="22"/>
                <w:color w:val="auto"/>
                <w:w w:val="98"/>
              </w:rPr>
              <w:t>___________________________________</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5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tc>
        <w:tc>
          <w:tcPr>
            <w:tcW w:w="380" w:type="dxa"/>
            <w:vAlign w:val="bottom"/>
          </w:tcPr>
          <w:p>
            <w:pPr>
              <w:spacing w:after="0"/>
              <w:rPr>
                <w:sz w:val="24"/>
                <w:szCs w:val="24"/>
                <w:color w:val="auto"/>
              </w:rPr>
            </w:pPr>
          </w:p>
        </w:tc>
        <w:tc>
          <w:tcPr>
            <w:tcW w:w="4080" w:type="dxa"/>
            <w:vAlign w:val="bottom"/>
            <w:gridSpan w:val="4"/>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immediately upon filing.</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80" w:type="dxa"/>
            <w:vAlign w:val="bottom"/>
            <w:gridSpan w:val="4"/>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(Date) at (Time).</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9620" w:type="dxa"/>
            <w:vAlign w:val="bottom"/>
            <w:gridSpan w:val="1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0" w:type="dxa"/>
            <w:vAlign w:val="bottom"/>
            <w:gridSpan w:val="3"/>
          </w:tcPr>
          <w:p>
            <w:pPr>
              <w:jc w:val="center"/>
              <w:ind w:left="247"/>
              <w:spacing w:after="0"/>
              <w:rPr>
                <w:sz w:val="20"/>
                <w:szCs w:val="20"/>
                <w:color w:val="auto"/>
              </w:rPr>
            </w:pPr>
            <w:r>
              <w:rPr>
                <w:rFonts w:ascii="Times New Roman" w:cs="Times New Roman" w:eastAsia="Times New Roman" w:hAnsi="Times New Roman"/>
                <w:sz w:val="18"/>
                <w:szCs w:val="18"/>
                <w:color w:val="auto"/>
                <w:w w:val="99"/>
              </w:rPr>
              <w:t>___________________________________</w:t>
            </w: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40" w:type="dxa"/>
            <w:vAlign w:val="bottom"/>
            <w:gridSpan w:val="6"/>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9"/>
              </w:rPr>
              <w:t>CALCULATION OF REGISTRATION FEE</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60" w:type="dxa"/>
            <w:vAlign w:val="bottom"/>
            <w:tcBorders>
              <w:right w:val="single" w:sz="8" w:color="auto"/>
            </w:tcBorders>
            <w:gridSpan w:val="3"/>
          </w:tcPr>
          <w:p>
            <w:pPr>
              <w:jc w:val="center"/>
              <w:ind w:right="800"/>
              <w:spacing w:after="0" w:line="191" w:lineRule="exact"/>
              <w:rPr>
                <w:sz w:val="20"/>
                <w:szCs w:val="20"/>
                <w:color w:val="auto"/>
              </w:rPr>
            </w:pPr>
            <w:r>
              <w:rPr>
                <w:rFonts w:ascii="Times New Roman" w:cs="Times New Roman" w:eastAsia="Times New Roman" w:hAnsi="Times New Roman"/>
                <w:sz w:val="18"/>
                <w:szCs w:val="18"/>
                <w:color w:val="auto"/>
              </w:rPr>
              <w:t>Title of Each Class of</w:t>
            </w:r>
          </w:p>
        </w:tc>
        <w:tc>
          <w:tcPr>
            <w:tcW w:w="40" w:type="dxa"/>
            <w:vAlign w:val="bottom"/>
          </w:tcPr>
          <w:p>
            <w:pPr>
              <w:spacing w:after="0"/>
              <w:rPr>
                <w:sz w:val="16"/>
                <w:szCs w:val="16"/>
                <w:color w:val="auto"/>
              </w:rPr>
            </w:pPr>
          </w:p>
        </w:tc>
        <w:tc>
          <w:tcPr>
            <w:tcW w:w="1480" w:type="dxa"/>
            <w:vAlign w:val="bottom"/>
          </w:tcPr>
          <w:p>
            <w:pPr>
              <w:jc w:val="center"/>
              <w:ind w:left="227"/>
              <w:spacing w:after="0" w:line="191" w:lineRule="exact"/>
              <w:rPr>
                <w:sz w:val="20"/>
                <w:szCs w:val="20"/>
                <w:color w:val="auto"/>
              </w:rPr>
            </w:pPr>
            <w:r>
              <w:rPr>
                <w:rFonts w:ascii="Times New Roman" w:cs="Times New Roman" w:eastAsia="Times New Roman" w:hAnsi="Times New Roman"/>
                <w:sz w:val="18"/>
                <w:szCs w:val="18"/>
                <w:color w:val="auto"/>
              </w:rPr>
              <w:t>Amount to be</w:t>
            </w:r>
          </w:p>
        </w:tc>
        <w:tc>
          <w:tcPr>
            <w:tcW w:w="380" w:type="dxa"/>
            <w:vAlign w:val="bottom"/>
            <w:tcBorders>
              <w:right w:val="single" w:sz="8" w:color="auto"/>
            </w:tcBorders>
          </w:tcPr>
          <w:p>
            <w:pPr>
              <w:spacing w:after="0"/>
              <w:rPr>
                <w:sz w:val="16"/>
                <w:szCs w:val="16"/>
                <w:color w:val="auto"/>
              </w:rPr>
            </w:pPr>
          </w:p>
        </w:tc>
        <w:tc>
          <w:tcPr>
            <w:tcW w:w="1740" w:type="dxa"/>
            <w:vAlign w:val="bottom"/>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1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260" w:type="dxa"/>
            <w:vAlign w:val="bottom"/>
          </w:tcPr>
          <w:p>
            <w:pPr>
              <w:spacing w:after="0"/>
              <w:rPr>
                <w:sz w:val="16"/>
                <w:szCs w:val="16"/>
                <w:color w:val="auto"/>
              </w:rPr>
            </w:pPr>
          </w:p>
        </w:tc>
        <w:tc>
          <w:tcPr>
            <w:tcW w:w="1620" w:type="dxa"/>
            <w:vAlign w:val="bottom"/>
          </w:tcPr>
          <w:p>
            <w:pPr>
              <w:jc w:val="center"/>
              <w:ind w:right="190"/>
              <w:spacing w:after="0" w:line="191" w:lineRule="exact"/>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60" w:type="dxa"/>
            <w:vAlign w:val="bottom"/>
            <w:tcBorders>
              <w:right w:val="single" w:sz="8" w:color="auto"/>
            </w:tcBorders>
            <w:gridSpan w:val="3"/>
          </w:tcPr>
          <w:p>
            <w:pPr>
              <w:jc w:val="center"/>
              <w:ind w:right="800"/>
              <w:spacing w:after="0"/>
              <w:rPr>
                <w:sz w:val="20"/>
                <w:szCs w:val="20"/>
                <w:color w:val="auto"/>
              </w:rPr>
            </w:pPr>
            <w:r>
              <w:rPr>
                <w:rFonts w:ascii="Times New Roman" w:cs="Times New Roman" w:eastAsia="Times New Roman" w:hAnsi="Times New Roman"/>
                <w:sz w:val="18"/>
                <w:szCs w:val="18"/>
                <w:color w:val="auto"/>
              </w:rPr>
              <w:t>Securities to be Registered</w:t>
            </w:r>
          </w:p>
        </w:tc>
        <w:tc>
          <w:tcPr>
            <w:tcW w:w="40" w:type="dxa"/>
            <w:vAlign w:val="bottom"/>
          </w:tcPr>
          <w:p>
            <w:pPr>
              <w:spacing w:after="0"/>
              <w:rPr>
                <w:sz w:val="18"/>
                <w:szCs w:val="18"/>
                <w:color w:val="auto"/>
              </w:rPr>
            </w:pPr>
          </w:p>
        </w:tc>
        <w:tc>
          <w:tcPr>
            <w:tcW w:w="1480" w:type="dxa"/>
            <w:vAlign w:val="bottom"/>
          </w:tcPr>
          <w:p>
            <w:pPr>
              <w:jc w:val="center"/>
              <w:ind w:left="227"/>
              <w:spacing w:after="0"/>
              <w:rPr>
                <w:sz w:val="20"/>
                <w:szCs w:val="20"/>
                <w:color w:val="auto"/>
              </w:rPr>
            </w:pPr>
            <w:r>
              <w:rPr>
                <w:rFonts w:ascii="Times New Roman" w:cs="Times New Roman" w:eastAsia="Times New Roman" w:hAnsi="Times New Roman"/>
                <w:sz w:val="18"/>
                <w:szCs w:val="18"/>
                <w:color w:val="auto"/>
                <w:w w:val="98"/>
              </w:rPr>
              <w:t>Registered</w:t>
            </w:r>
          </w:p>
        </w:tc>
        <w:tc>
          <w:tcPr>
            <w:tcW w:w="380" w:type="dxa"/>
            <w:vAlign w:val="bottom"/>
            <w:tcBorders>
              <w:right w:val="single" w:sz="8" w:color="auto"/>
            </w:tcBorders>
          </w:tcPr>
          <w:p>
            <w:pPr>
              <w:spacing w:after="0"/>
              <w:rPr>
                <w:sz w:val="18"/>
                <w:szCs w:val="18"/>
                <w:color w:val="auto"/>
              </w:rPr>
            </w:pPr>
          </w:p>
        </w:tc>
        <w:tc>
          <w:tcPr>
            <w:tcW w:w="17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Aggregate Price Per</w:t>
            </w:r>
          </w:p>
        </w:tc>
        <w:tc>
          <w:tcPr>
            <w:tcW w:w="1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 Offering</w:t>
            </w:r>
          </w:p>
        </w:tc>
        <w:tc>
          <w:tcPr>
            <w:tcW w:w="260" w:type="dxa"/>
            <w:vAlign w:val="bottom"/>
          </w:tcPr>
          <w:p>
            <w:pPr>
              <w:spacing w:after="0"/>
              <w:rPr>
                <w:sz w:val="18"/>
                <w:szCs w:val="18"/>
                <w:color w:val="auto"/>
              </w:rPr>
            </w:pPr>
          </w:p>
        </w:tc>
        <w:tc>
          <w:tcPr>
            <w:tcW w:w="16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Registration Fee</w:t>
            </w:r>
          </w:p>
        </w:tc>
        <w:tc>
          <w:tcPr>
            <w:tcW w:w="0" w:type="dxa"/>
            <w:vAlign w:val="bottom"/>
          </w:tcPr>
          <w:p>
            <w:pPr>
              <w:spacing w:after="0"/>
              <w:rPr>
                <w:sz w:val="1"/>
                <w:szCs w:val="1"/>
                <w:color w:val="auto"/>
              </w:rPr>
            </w:pPr>
          </w:p>
        </w:tc>
      </w:tr>
      <w:tr>
        <w:trPr>
          <w:trHeight w:val="234"/>
        </w:trPr>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Unit*</w:t>
            </w:r>
          </w:p>
        </w:tc>
        <w:tc>
          <w:tcPr>
            <w:tcW w:w="1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Price**</w:t>
            </w: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40" w:type="dxa"/>
            <w:vAlign w:val="bottom"/>
            <w:tcBorders>
              <w:right w:val="single" w:sz="8" w:color="auto"/>
            </w:tcBorders>
            <w:gridSpan w:val="6"/>
          </w:tcPr>
          <w:p>
            <w:pPr>
              <w:spacing w:after="0" w:line="169" w:lineRule="exact"/>
              <w:rPr>
                <w:sz w:val="20"/>
                <w:szCs w:val="20"/>
                <w:color w:val="auto"/>
              </w:rPr>
            </w:pPr>
            <w:r>
              <w:rPr>
                <w:rFonts w:ascii="Times New Roman" w:cs="Times New Roman" w:eastAsia="Times New Roman" w:hAnsi="Times New Roman"/>
                <w:sz w:val="18"/>
                <w:szCs w:val="18"/>
                <w:color w:val="auto"/>
              </w:rPr>
              <w:t>American Depositary Shares (ADS(s)), each</w:t>
            </w:r>
          </w:p>
        </w:tc>
        <w:tc>
          <w:tcPr>
            <w:tcW w:w="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90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6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ADS representing the right to receive ten (10)</w:t>
            </w:r>
          </w:p>
        </w:tc>
        <w:tc>
          <w:tcPr>
            <w:tcW w:w="40" w:type="dxa"/>
            <w:vAlign w:val="bottom"/>
          </w:tcPr>
          <w:p>
            <w:pPr>
              <w:spacing w:after="0"/>
              <w:rPr>
                <w:sz w:val="18"/>
                <w:szCs w:val="18"/>
                <w:color w:val="auto"/>
              </w:rPr>
            </w:pPr>
          </w:p>
        </w:tc>
        <w:tc>
          <w:tcPr>
            <w:tcW w:w="1480" w:type="dxa"/>
            <w:vAlign w:val="bottom"/>
            <w:vMerge w:val="restart"/>
          </w:tcPr>
          <w:p>
            <w:pPr>
              <w:jc w:val="center"/>
              <w:ind w:left="227"/>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Borders>
              <w:right w:val="single" w:sz="8" w:color="auto"/>
            </w:tcBorders>
          </w:tcPr>
          <w:p>
            <w:pPr>
              <w:spacing w:after="0"/>
              <w:rPr>
                <w:sz w:val="18"/>
                <w:szCs w:val="18"/>
                <w:color w:val="auto"/>
              </w:rPr>
            </w:pPr>
          </w:p>
        </w:tc>
        <w:tc>
          <w:tcPr>
            <w:tcW w:w="174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6"/>
              </w:rPr>
              <w:t>N/A</w:t>
            </w:r>
          </w:p>
        </w:tc>
        <w:tc>
          <w:tcPr>
            <w:tcW w:w="1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60" w:type="dxa"/>
            <w:vAlign w:val="bottom"/>
          </w:tcPr>
          <w:p>
            <w:pPr>
              <w:spacing w:after="0"/>
              <w:rPr>
                <w:sz w:val="18"/>
                <w:szCs w:val="18"/>
                <w:color w:val="auto"/>
              </w:rPr>
            </w:pPr>
          </w:p>
        </w:tc>
        <w:tc>
          <w:tcPr>
            <w:tcW w:w="16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26"/>
        </w:trPr>
        <w:tc>
          <w:tcPr>
            <w:tcW w:w="364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Ordinary Shares of PureTech Health plc (the</w:t>
            </w:r>
          </w:p>
        </w:tc>
        <w:tc>
          <w:tcPr>
            <w:tcW w:w="4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174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640" w:type="dxa"/>
            <w:vAlign w:val="bottom"/>
            <w:tcBorders>
              <w:right w:val="single" w:sz="8" w:color="auto"/>
            </w:tcBorders>
            <w:gridSpan w:val="6"/>
            <w:vMerge w:val="continue"/>
          </w:tcPr>
          <w:p>
            <w:pPr>
              <w:spacing w:after="0"/>
              <w:rPr>
                <w:sz w:val="7"/>
                <w:szCs w:val="7"/>
                <w:color w:val="auto"/>
              </w:rPr>
            </w:pPr>
          </w:p>
        </w:tc>
        <w:tc>
          <w:tcPr>
            <w:tcW w:w="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17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3640" w:type="dxa"/>
            <w:vAlign w:val="bottom"/>
            <w:tcBorders>
              <w:right w:val="single" w:sz="8" w:color="auto"/>
            </w:tcBorders>
            <w:gridSpan w:val="6"/>
          </w:tcPr>
          <w:p>
            <w:pPr>
              <w:spacing w:after="0" w:line="194" w:lineRule="exact"/>
              <w:rPr>
                <w:sz w:val="20"/>
                <w:szCs w:val="20"/>
                <w:color w:val="auto"/>
              </w:rPr>
            </w:pPr>
            <w:r>
              <w:rPr>
                <w:rFonts w:ascii="Times New Roman" w:cs="Times New Roman" w:eastAsia="Times New Roman" w:hAnsi="Times New Roman"/>
                <w:sz w:val="18"/>
                <w:szCs w:val="18"/>
                <w:color w:val="auto"/>
              </w:rPr>
              <w:t>“Company”)</w:t>
            </w:r>
          </w:p>
        </w:tc>
        <w:tc>
          <w:tcPr>
            <w:tcW w:w="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3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Each unit represents 100 ADSs.</w:t>
            </w: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80" w:right="760" w:hanging="572"/>
        <w:spacing w:after="0" w:line="258" w:lineRule="auto"/>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457(k), such estimate is computed on the basis of the maximum aggregate fees or charges to be imposed in connection with the issuance of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0" w:gutter="0" w:footer="0" w:header="0"/>
        </w:sectPr>
      </w:pPr>
    </w:p>
    <w:bookmarkStart w:id="1" w:name="page2"/>
    <w:bookmarkEnd w:id="1"/>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Post-Effective Amendment No. 1 to Registration Statement on such date or dates as may be necessary to delay its effective date until the Registrant shall file a further amendment which specifically states that this Post-Effective Amendment No. 1 to Registration Statement shall thereafter become effective in accordance with Section 8(a) of the Securities Act of 1933, or until this Post-Effective Amendment No. 1 to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350520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900" w:top="117" w:right="339" w:bottom="1440" w:gutter="0" w:footer="0" w:header="0"/>
        </w:sectPr>
      </w:pPr>
    </w:p>
    <w:bookmarkStart w:id="2" w:name="page3"/>
    <w:bookmarkEnd w:id="2"/>
    <w:p>
      <w:pPr>
        <w:jc w:val="both"/>
        <w:ind w:left="180" w:right="199"/>
        <w:spacing w:after="0" w:line="266" w:lineRule="auto"/>
        <w:rPr>
          <w:sz w:val="20"/>
          <w:szCs w:val="20"/>
          <w:color w:val="auto"/>
        </w:rPr>
      </w:pPr>
      <w:r>
        <w:rPr>
          <w:rFonts w:ascii="Times New Roman" w:cs="Times New Roman" w:eastAsia="Times New Roman" w:hAnsi="Times New Roman"/>
          <w:sz w:val="18"/>
          <w:szCs w:val="18"/>
          <w:color w:val="auto"/>
        </w:rPr>
        <w:t>This Post-Effective Amendment No. 1 to Registration Statement may be executed in any number of counterparts, each of which shall be deemed an original, and all of such counterparts together shall constitute one and the same instrument.</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3" w:name="page4"/>
    <w:bookmarkEnd w:id="3"/>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INFORMATION REQUIRED IN PROSPECTUS</w:t>
      </w:r>
    </w:p>
    <w:p>
      <w:pPr>
        <w:spacing w:after="0" w:line="23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Cross Reference Sheet</w:t>
      </w:r>
    </w:p>
    <w:p>
      <w:pPr>
        <w:sectPr>
          <w:pgSz w:w="11900" w:h="16838" w:orient="portrait"/>
          <w:cols w:equalWidth="0" w:num="1">
            <w:col w:w="10760"/>
          </w:cols>
          <w:pgMar w:left="320" w:top="792" w:right="819" w:bottom="1440" w:gutter="0" w:footer="0" w:header="0"/>
        </w:sectPr>
      </w:pP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DESCRIPTION OF SECURITIES TO BE REGISTERED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Number and Caption</w:t>
      </w:r>
    </w:p>
    <w:p>
      <w:pPr>
        <w:spacing w:after="0" w:line="229"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Depositary and address of its principal executive office</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Receipt and identity of deposited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Deposit:</w:t>
      </w:r>
    </w:p>
    <w:p>
      <w:pPr>
        <w:spacing w:after="0" w:line="225" w:lineRule="exact"/>
        <w:rPr>
          <w:sz w:val="20"/>
          <w:szCs w:val="20"/>
          <w:color w:val="auto"/>
        </w:rPr>
      </w:pPr>
    </w:p>
    <w:p>
      <w:pPr>
        <w:ind w:left="1140" w:right="56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deposited securities represented by one American Depositary Share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voting, if any, the deposited securities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and distribution of dividends</w:t>
      </w:r>
    </w:p>
    <w:p>
      <w:pPr>
        <w:spacing w:after="0" w:line="225" w:lineRule="exact"/>
        <w:rPr>
          <w:rFonts w:ascii="Times New Roman" w:cs="Times New Roman" w:eastAsia="Times New Roman" w:hAnsi="Times New Roman"/>
          <w:sz w:val="18"/>
          <w:szCs w:val="18"/>
          <w:color w:val="auto"/>
        </w:rPr>
      </w:pPr>
    </w:p>
    <w:p>
      <w:pPr>
        <w:ind w:left="1140" w:right="42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transmission of notices, reports and proxy soliciting material</w:t>
      </w:r>
    </w:p>
    <w:p>
      <w:pPr>
        <w:spacing w:after="0" w:line="16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exercise of rights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or sale of securities resulting from dividends, splits or plans of reorganization</w:t>
      </w:r>
    </w:p>
    <w:p>
      <w:pPr>
        <w:spacing w:after="0" w:line="161" w:lineRule="exact"/>
        <w:rPr>
          <w:rFonts w:ascii="Times New Roman" w:cs="Times New Roman" w:eastAsia="Times New Roman" w:hAnsi="Times New Roman"/>
          <w:sz w:val="18"/>
          <w:szCs w:val="18"/>
          <w:color w:val="auto"/>
        </w:rPr>
      </w:pPr>
    </w:p>
    <w:p>
      <w:pPr>
        <w:ind w:left="1140" w:right="72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extension or termination of the deposit agreement</w:t>
      </w:r>
    </w:p>
    <w:p>
      <w:pPr>
        <w:spacing w:after="0" w:line="161" w:lineRule="exact"/>
        <w:rPr>
          <w:rFonts w:ascii="Times New Roman" w:cs="Times New Roman" w:eastAsia="Times New Roman" w:hAnsi="Times New Roman"/>
          <w:sz w:val="18"/>
          <w:szCs w:val="18"/>
          <w:color w:val="auto"/>
        </w:rPr>
      </w:pPr>
    </w:p>
    <w:p>
      <w:pPr>
        <w:ind w:left="1140" w:right="12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Receipts to inspect the transfer books of the Depositary and the list of holders of ADSs</w:t>
      </w:r>
    </w:p>
    <w:p>
      <w:pPr>
        <w:spacing w:after="0" w:line="161"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upon the right to deposit or withdraw the underlying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Receipt (“</w:t>
      </w:r>
      <w:r>
        <w:rPr>
          <w:rFonts w:ascii="Times New Roman" w:cs="Times New Roman" w:eastAsia="Times New Roman" w:hAnsi="Times New Roman"/>
          <w:sz w:val="18"/>
          <w:szCs w:val="18"/>
          <w:b w:val="1"/>
          <w:bCs w:val="1"/>
          <w:u w:val="single" w:color="auto"/>
          <w:color w:val="auto"/>
        </w:rPr>
        <w:t>Receipt</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Filed Herewith as Prospectus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Introductory Article.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Top Center.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Upper right corner.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 (15).</w:t>
      </w:r>
    </w:p>
    <w:p>
      <w:pPr>
        <w:spacing w:after="0" w:line="225" w:lineRule="exact"/>
        <w:rPr>
          <w:sz w:val="20"/>
          <w:szCs w:val="20"/>
          <w:color w:val="auto"/>
        </w:rPr>
      </w:pPr>
    </w:p>
    <w:p>
      <w:pPr>
        <w:ind w:right="1940"/>
        <w:spacing w:after="0" w:line="312" w:lineRule="auto"/>
        <w:rPr>
          <w:sz w:val="20"/>
          <w:szCs w:val="20"/>
          <w:color w:val="auto"/>
        </w:rPr>
      </w:pPr>
      <w:r>
        <w:rPr>
          <w:rFonts w:ascii="Times New Roman" w:cs="Times New Roman" w:eastAsia="Times New Roman" w:hAnsi="Times New Roman"/>
          <w:sz w:val="17"/>
          <w:szCs w:val="17"/>
          <w:u w:val="single" w:color="auto"/>
          <w:color w:val="auto"/>
        </w:rPr>
        <w:t>Face of Receipt</w:t>
      </w:r>
      <w:r>
        <w:rPr>
          <w:rFonts w:ascii="Times New Roman" w:cs="Times New Roman" w:eastAsia="Times New Roman" w:hAnsi="Times New Roman"/>
          <w:sz w:val="17"/>
          <w:szCs w:val="17"/>
          <w:color w:val="auto"/>
        </w:rPr>
        <w:t xml:space="preserve"> - Paragraph (14); </w:t>
      </w:r>
      <w:r>
        <w:rPr>
          <w:rFonts w:ascii="Times New Roman" w:cs="Times New Roman" w:eastAsia="Times New Roman" w:hAnsi="Times New Roman"/>
          <w:sz w:val="17"/>
          <w:szCs w:val="17"/>
          <w:u w:val="single" w:color="auto"/>
          <w:color w:val="auto"/>
        </w:rPr>
        <w:t>Reverse of Receipt</w:t>
      </w:r>
      <w:r>
        <w:rPr>
          <w:rFonts w:ascii="Times New Roman" w:cs="Times New Roman" w:eastAsia="Times New Roman" w:hAnsi="Times New Roman"/>
          <w:sz w:val="17"/>
          <w:szCs w:val="17"/>
          <w:color w:val="auto"/>
        </w:rPr>
        <w:t xml:space="preserve"> - Paragraph (18).</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(17).</w:t>
      </w:r>
    </w:p>
    <w:p>
      <w:pPr>
        <w:spacing w:after="0" w:line="207" w:lineRule="exact"/>
        <w:rPr>
          <w:sz w:val="20"/>
          <w:szCs w:val="20"/>
          <w:color w:val="auto"/>
        </w:rPr>
      </w:pPr>
    </w:p>
    <w:p>
      <w:pPr>
        <w:ind w:right="1220"/>
        <w:spacing w:after="0" w:line="312" w:lineRule="auto"/>
        <w:rPr>
          <w:sz w:val="20"/>
          <w:szCs w:val="20"/>
          <w:color w:val="auto"/>
        </w:rPr>
      </w:pPr>
      <w:r>
        <w:rPr>
          <w:rFonts w:ascii="Times New Roman" w:cs="Times New Roman" w:eastAsia="Times New Roman" w:hAnsi="Times New Roman"/>
          <w:sz w:val="17"/>
          <w:szCs w:val="17"/>
          <w:u w:val="single" w:color="auto"/>
          <w:color w:val="auto"/>
        </w:rPr>
        <w:t>Face of Receipt</w:t>
      </w:r>
      <w:r>
        <w:rPr>
          <w:rFonts w:ascii="Times New Roman" w:cs="Times New Roman" w:eastAsia="Times New Roman" w:hAnsi="Times New Roman"/>
          <w:sz w:val="17"/>
          <w:szCs w:val="17"/>
          <w:color w:val="auto"/>
        </w:rPr>
        <w:t xml:space="preserve"> - Paragraphs (3) and (6); </w:t>
      </w:r>
      <w:r>
        <w:rPr>
          <w:rFonts w:ascii="Times New Roman" w:cs="Times New Roman" w:eastAsia="Times New Roman" w:hAnsi="Times New Roman"/>
          <w:sz w:val="17"/>
          <w:szCs w:val="17"/>
          <w:u w:val="single" w:color="auto"/>
          <w:color w:val="auto"/>
        </w:rPr>
        <w:t>Reverse of Receipt</w:t>
      </w:r>
      <w:r>
        <w:rPr>
          <w:rFonts w:ascii="Times New Roman" w:cs="Times New Roman" w:eastAsia="Times New Roman" w:hAnsi="Times New Roman"/>
          <w:sz w:val="17"/>
          <w:szCs w:val="17"/>
          <w:color w:val="auto"/>
        </w:rPr>
        <w:t xml:space="preserve"> - Paragraphs (15) and (17).</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(23) and (24) (no provision for extensions).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 (14).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Paragraphs (2), (3), (4), (6), (7), (9) and (10).</w:t>
      </w:r>
    </w:p>
    <w:p>
      <w:pPr>
        <w:spacing w:after="0" w:line="479" w:lineRule="exact"/>
        <w:rPr>
          <w:sz w:val="20"/>
          <w:szCs w:val="20"/>
          <w:color w:val="auto"/>
        </w:rPr>
      </w:pPr>
    </w:p>
    <w:p>
      <w:pPr>
        <w:sectPr>
          <w:pgSz w:w="11900" w:h="16838" w:orient="portrait"/>
          <w:cols w:equalWidth="0" w:num="2">
            <w:col w:w="5620" w:space="580"/>
            <w:col w:w="4560"/>
          </w:cols>
          <w:pgMar w:left="320" w:top="792" w:right="819" w:bottom="1440" w:gutter="0" w:footer="0" w:header="0"/>
          <w:type w:val="continuous"/>
        </w:sectPr>
      </w:pPr>
    </w:p>
    <w:p>
      <w:pPr>
        <w:spacing w:after="0" w:line="8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9"/>
          <w:szCs w:val="19"/>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60"/>
          </w:cols>
          <w:pgMar w:left="320" w:top="792" w:right="81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c>
          <w:tcPr>
            <w:tcW w:w="0" w:type="dxa"/>
            <w:vAlign w:val="bottom"/>
          </w:tcPr>
          <w:p>
            <w:pPr>
              <w:spacing w:after="0"/>
              <w:rPr>
                <w:sz w:val="1"/>
                <w:szCs w:val="1"/>
                <w:color w:val="auto"/>
              </w:rPr>
            </w:pPr>
          </w:p>
        </w:tc>
      </w:tr>
      <w:tr>
        <w:trPr>
          <w:trHeight w:val="198"/>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140" w:type="dxa"/>
            <w:vAlign w:val="bottom"/>
            <w:vMerge w:val="restart"/>
          </w:tcPr>
          <w:p>
            <w:pPr>
              <w:spacing w:after="0"/>
              <w:rPr>
                <w:sz w:val="17"/>
                <w:szCs w:val="17"/>
                <w:color w:val="auto"/>
              </w:rPr>
            </w:pPr>
          </w:p>
        </w:tc>
        <w:tc>
          <w:tcPr>
            <w:tcW w:w="33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Depositary Receipt (“Receipt”)</w:t>
            </w:r>
          </w:p>
        </w:tc>
        <w:tc>
          <w:tcPr>
            <w:tcW w:w="0" w:type="dxa"/>
            <w:vAlign w:val="bottom"/>
          </w:tcPr>
          <w:p>
            <w:pPr>
              <w:spacing w:after="0"/>
              <w:rPr>
                <w:sz w:val="1"/>
                <w:szCs w:val="1"/>
                <w:color w:val="auto"/>
              </w:rPr>
            </w:pPr>
          </w:p>
        </w:tc>
      </w:tr>
      <w:tr>
        <w:trPr>
          <w:trHeight w:val="20"/>
        </w:trPr>
        <w:tc>
          <w:tcPr>
            <w:tcW w:w="2060" w:type="dxa"/>
            <w:vAlign w:val="bottom"/>
            <w:gridSpan w:val="3"/>
            <w:vMerge w:val="continue"/>
          </w:tcPr>
          <w:p>
            <w:pPr>
              <w:spacing w:after="0" w:line="20" w:lineRule="exact"/>
              <w:rPr>
                <w:sz w:val="1"/>
                <w:szCs w:val="1"/>
                <w:color w:val="auto"/>
              </w:rPr>
            </w:pPr>
          </w:p>
        </w:tc>
        <w:tc>
          <w:tcPr>
            <w:tcW w:w="41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3"/>
            <w:vMerge w:val="continue"/>
          </w:tcPr>
          <w:p>
            <w:pPr>
              <w:spacing w:after="0"/>
              <w:rPr>
                <w:sz w:val="17"/>
                <w:szCs w:val="17"/>
                <w:color w:val="auto"/>
              </w:rPr>
            </w:pPr>
          </w:p>
        </w:tc>
        <w:tc>
          <w:tcPr>
            <w:tcW w:w="4140" w:type="dxa"/>
            <w:vAlign w:val="bottom"/>
            <w:vMerge w:val="continue"/>
          </w:tcPr>
          <w:p>
            <w:pPr>
              <w:spacing w:after="0"/>
              <w:rPr>
                <w:sz w:val="17"/>
                <w:szCs w:val="17"/>
                <w:color w:val="auto"/>
              </w:rPr>
            </w:pPr>
          </w:p>
        </w:tc>
        <w:tc>
          <w:tcPr>
            <w:tcW w:w="33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Limitation upon the liability of the Depositary</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33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Reverse of Receipt - Paragraphs (20) and (21).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Fees and charges which may be imposed directly or indirectly on</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(11).</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2.</w:t>
            </w:r>
          </w:p>
        </w:tc>
        <w:tc>
          <w:tcPr>
            <w:tcW w:w="400" w:type="dxa"/>
            <w:vAlign w:val="bottom"/>
          </w:tcPr>
          <w:p>
            <w:pPr>
              <w:spacing w:after="0"/>
              <w:rPr>
                <w:sz w:val="24"/>
                <w:szCs w:val="24"/>
                <w:color w:val="auto"/>
              </w:rPr>
            </w:pP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has in the past been subject to the periodic reporting requirements of the Exchange Act, and has filed certain reports with, and submitted certain information to, the Commission, which reports can be retrieved from the Commission’s internet website at www.sec.gov, and can be inspected and copied at the public reference facilities maintained by the Commission located at 100 F Street, N.E., Washington, D.C. 20549. The Company has filed a Form 15F (“</w:t>
      </w:r>
      <w:r>
        <w:rPr>
          <w:rFonts w:ascii="Times New Roman" w:cs="Times New Roman" w:eastAsia="Times New Roman" w:hAnsi="Times New Roman"/>
          <w:sz w:val="18"/>
          <w:szCs w:val="18"/>
          <w:u w:val="single" w:color="auto"/>
          <w:color w:val="auto"/>
        </w:rPr>
        <w:t>Form 15F</w:t>
      </w:r>
      <w:r>
        <w:rPr>
          <w:rFonts w:ascii="Times New Roman" w:cs="Times New Roman" w:eastAsia="Times New Roman" w:hAnsi="Times New Roman"/>
          <w:sz w:val="18"/>
          <w:szCs w:val="18"/>
          <w:color w:val="auto"/>
        </w:rPr>
        <w:t>”) with the Commission to terminate the registration of its securities under the Exchange Act and its reporting obligations under Sections 13(a) and 15(d) of the Exchange Act. Upon filing of Form 15F, the Company’s obligation under the Exchange Act to file or submit reports required under Sections 13(a) or 15(d) of the Exchange Act was suspended. Upon effectiveness of Form 15F, the Company’s duty to file or submit reports under Sections 13(a) and 15(d) of the Exchange Act will terminate. Pursuant to Rule 12g3-2(b)(1) promulgated under the Exchange Act, the Company is exempt from the reporting obligations of the Exchange Act. In order to satisfy the conditions of Rule 12g3-2(b) and to maintain the exemption from registration, the Company publishes in English the information contemplated in Rule 12g3-2(b)(2)(i) under the Exchange Act on its internet website (https://puretechhealth.com) or through an electronic information delivery system generally available to the public in the Company’s primary trading market. The information so published by the Company cannot be retrieved from the Commission’s internet website, and cannot be inspected or copied at the public reference facilities maintained by the Commission. If the Form 15F does not become effective, the Company will again be subject to the periodic reporting requirements of the Exchange Act and will be required to file with the Commission, and submit to the Commission, certain reports that can be retrieved from the Commission’s internet website at www.sec.gov, and can be inspected and copied at the public reference facilities maintained by the Commission.</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29" w:lineRule="exact"/>
        <w:rPr>
          <w:sz w:val="20"/>
          <w:szCs w:val="20"/>
          <w:color w:val="auto"/>
        </w:rPr>
      </w:pPr>
    </w:p>
    <w:p>
      <w:pPr>
        <w:jc w:val="both"/>
        <w:ind w:left="180" w:right="199"/>
        <w:spacing w:after="0" w:line="266" w:lineRule="auto"/>
        <w:rPr>
          <w:sz w:val="20"/>
          <w:szCs w:val="20"/>
          <w:color w:val="auto"/>
        </w:rPr>
      </w:pPr>
      <w:r>
        <w:rPr>
          <w:rFonts w:ascii="Times New Roman" w:cs="Times New Roman" w:eastAsia="Times New Roman" w:hAnsi="Times New Roman"/>
          <w:sz w:val="18"/>
          <w:szCs w:val="18"/>
          <w:color w:val="auto"/>
        </w:rPr>
        <w:t>The Prospectus consists of the proposed form of American Depositary Receipt included as Exhibit A to the Form of Amendment No. 1 to Deposit Agreement filed as Exhibit (a)(i) to this Post-Effective Amendment No. 1 to Registration Statement on Form F-6 and is incorporated herein by reference.</w:t>
      </w: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560" w:type="dxa"/>
            <w:vAlign w:val="bottom"/>
            <w:gridSpan w:val="4"/>
          </w:tcPr>
          <w:p>
            <w:pPr>
              <w:jc w:val="center"/>
              <w:ind w:right="4660"/>
              <w:spacing w:after="0"/>
              <w:rPr>
                <w:sz w:val="20"/>
                <w:szCs w:val="20"/>
                <w:color w:val="auto"/>
              </w:rPr>
            </w:pPr>
            <w:r>
              <w:rPr>
                <w:rFonts w:ascii="Times New Roman" w:cs="Times New Roman" w:eastAsia="Times New Roman" w:hAnsi="Times New Roman"/>
                <w:sz w:val="18"/>
                <w:szCs w:val="18"/>
                <w:b w:val="1"/>
                <w:bCs w:val="1"/>
                <w:color w:val="auto"/>
                <w:w w:val="97"/>
              </w:rPr>
              <w:t>PART II</w:t>
            </w:r>
          </w:p>
        </w:tc>
      </w:tr>
      <w:tr>
        <w:trPr>
          <w:trHeight w:val="432"/>
        </w:trPr>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60" w:type="dxa"/>
            <w:vAlign w:val="bottom"/>
            <w:gridSpan w:val="5"/>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INFORMATION NOT REQUIRED IN PROSPECTUS</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20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1"/>
        </w:trPr>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(a)(i)</w:t>
            </w:r>
          </w:p>
        </w:tc>
        <w:tc>
          <w:tcPr>
            <w:tcW w:w="1020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Form of Amendment No. 1 to Deposit Agreement, by and among PureTech Health plc (the “Company”), Citibank, N.A., as depositary (the</w:t>
            </w: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0200" w:type="dxa"/>
            <w:vAlign w:val="bottom"/>
            <w:gridSpan w:val="7"/>
          </w:tcPr>
          <w:p>
            <w:pPr>
              <w:ind w:left="80"/>
              <w:spacing w:after="0" w:line="236" w:lineRule="exact"/>
              <w:rPr>
                <w:sz w:val="20"/>
                <w:szCs w:val="20"/>
                <w:color w:val="auto"/>
              </w:rPr>
            </w:pPr>
            <w:r>
              <w:rPr>
                <w:rFonts w:ascii="Times New Roman" w:cs="Times New Roman" w:eastAsia="Times New Roman" w:hAnsi="Times New Roman"/>
                <w:sz w:val="17"/>
                <w:szCs w:val="17"/>
                <w:color w:val="auto"/>
              </w:rPr>
              <w:t xml:space="preserve">“Depositary”), and all Holders and Beneficial Owners of American Depositary Shares issued thereunder. </w:t>
            </w:r>
            <w:r>
              <w:rPr>
                <w:rFonts w:ascii="Times New Roman" w:cs="Times New Roman" w:eastAsia="Times New Roman" w:hAnsi="Times New Roman"/>
                <w:sz w:val="27"/>
                <w:szCs w:val="27"/>
                <w:color w:val="auto"/>
                <w:vertAlign w:val="superscript"/>
              </w:rPr>
              <w:t>___</w:t>
            </w:r>
            <w:r>
              <w:rPr>
                <w:rFonts w:ascii="Times New Roman" w:cs="Times New Roman" w:eastAsia="Times New Roman" w:hAnsi="Times New Roman"/>
                <w:sz w:val="17"/>
                <w:szCs w:val="17"/>
                <w:color w:val="auto"/>
              </w:rPr>
              <w:t xml:space="preserve"> Filed herewith as Exhibit (a)</w:t>
            </w: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1020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(i).</w:t>
            </w:r>
          </w:p>
        </w:tc>
      </w:tr>
      <w:tr>
        <w:trPr>
          <w:trHeight w:val="417"/>
        </w:trPr>
        <w:tc>
          <w:tcPr>
            <w:tcW w:w="1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(a)(ii)</w:t>
            </w:r>
          </w:p>
        </w:tc>
        <w:tc>
          <w:tcPr>
            <w:tcW w:w="1020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Deposit Agreement, dated as of November 11, 2020, by and among the Company, the Depositary, and all Holders and Beneficial Owners of</w:t>
            </w:r>
          </w:p>
        </w:tc>
      </w:tr>
      <w:tr>
        <w:trPr>
          <w:trHeight w:val="231"/>
        </w:trPr>
        <w:tc>
          <w:tcPr>
            <w:tcW w:w="1040" w:type="dxa"/>
            <w:vAlign w:val="bottom"/>
          </w:tcPr>
          <w:p>
            <w:pPr>
              <w:spacing w:after="0"/>
              <w:rPr>
                <w:sz w:val="20"/>
                <w:szCs w:val="20"/>
                <w:color w:val="auto"/>
              </w:rPr>
            </w:pPr>
          </w:p>
        </w:tc>
        <w:tc>
          <w:tcPr>
            <w:tcW w:w="10200" w:type="dxa"/>
            <w:vAlign w:val="bottom"/>
            <w:gridSpan w:val="7"/>
          </w:tcPr>
          <w:p>
            <w:pPr>
              <w:ind w:left="80"/>
              <w:spacing w:after="0" w:line="231" w:lineRule="exact"/>
              <w:rPr>
                <w:sz w:val="20"/>
                <w:szCs w:val="20"/>
                <w:color w:val="auto"/>
              </w:rPr>
            </w:pPr>
            <w:r>
              <w:rPr>
                <w:rFonts w:ascii="Times New Roman" w:cs="Times New Roman" w:eastAsia="Times New Roman" w:hAnsi="Times New Roman"/>
                <w:sz w:val="16"/>
                <w:szCs w:val="16"/>
                <w:color w:val="auto"/>
              </w:rPr>
              <w:t xml:space="preserve">American Depositary Shares issued thereunder (“Deposit Agreement”). </w:t>
            </w:r>
            <w:r>
              <w:rPr>
                <w:rFonts w:ascii="Times New Roman" w:cs="Times New Roman" w:eastAsia="Times New Roman" w:hAnsi="Times New Roman"/>
                <w:sz w:val="26"/>
                <w:szCs w:val="26"/>
                <w:color w:val="auto"/>
                <w:vertAlign w:val="superscript"/>
              </w:rPr>
              <w:t>___</w:t>
            </w:r>
            <w:r>
              <w:rPr>
                <w:rFonts w:ascii="Times New Roman" w:cs="Times New Roman" w:eastAsia="Times New Roman" w:hAnsi="Times New Roman"/>
                <w:sz w:val="16"/>
                <w:szCs w:val="16"/>
                <w:color w:val="auto"/>
              </w:rPr>
              <w:t xml:space="preserve"> Filed herewith as Exhibit (a)(ii).</w:t>
            </w: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20" w:right="20" w:hanging="559"/>
        <w:spacing w:after="0" w:line="292"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agreement to which the Depositary is a party relating to the issuance of the American Depositary Shares registered hereunder or the custody of the deposited securities represented thereby.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30" w:lineRule="exact"/>
        <w:rPr>
          <w:rFonts w:ascii="Times New Roman" w:cs="Times New Roman" w:eastAsia="Times New Roman" w:hAnsi="Times New Roman"/>
          <w:sz w:val="18"/>
          <w:szCs w:val="18"/>
          <w:color w:val="auto"/>
        </w:rPr>
      </w:pPr>
    </w:p>
    <w:p>
      <w:pPr>
        <w:ind w:left="1120" w:right="20" w:hanging="559"/>
        <w:spacing w:after="0" w:line="292"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material contract relating to the deposited securities between the Depositary and the issuer of the deposited securities in effect at any time within the last three years.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14" w:lineRule="exact"/>
        <w:rPr>
          <w:rFonts w:ascii="Times New Roman" w:cs="Times New Roman" w:eastAsia="Times New Roman" w:hAnsi="Times New Roman"/>
          <w:sz w:val="18"/>
          <w:szCs w:val="18"/>
          <w:color w:val="auto"/>
        </w:rPr>
      </w:pPr>
    </w:p>
    <w:p>
      <w:pPr>
        <w:ind w:left="1120" w:hanging="559"/>
        <w:spacing w:after="0"/>
        <w:tabs>
          <w:tab w:leader="none" w:pos="112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Opinion of counsel for the Depositary as to the legality of the securities to be registered.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77" w:lineRule="exact"/>
        <w:rPr>
          <w:rFonts w:ascii="Times New Roman" w:cs="Times New Roman" w:eastAsia="Times New Roman" w:hAnsi="Times New Roman"/>
          <w:sz w:val="36"/>
          <w:szCs w:val="36"/>
          <w:color w:val="auto"/>
          <w:vertAlign w:val="superscript"/>
        </w:rPr>
      </w:pPr>
    </w:p>
    <w:p>
      <w:pPr>
        <w:ind w:left="1120" w:hanging="559"/>
        <w:spacing w:after="0" w:line="229" w:lineRule="auto"/>
        <w:tabs>
          <w:tab w:leader="none" w:pos="112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Certificate under Rule 466.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78" w:lineRule="exact"/>
        <w:rPr>
          <w:rFonts w:ascii="Times New Roman" w:cs="Times New Roman" w:eastAsia="Times New Roman" w:hAnsi="Times New Roman"/>
          <w:sz w:val="36"/>
          <w:szCs w:val="36"/>
          <w:color w:val="auto"/>
          <w:vertAlign w:val="superscript"/>
        </w:rPr>
      </w:pPr>
    </w:p>
    <w:p>
      <w:pPr>
        <w:ind w:left="1120" w:hanging="559"/>
        <w:spacing w:after="0" w:line="188" w:lineRule="auto"/>
        <w:tabs>
          <w:tab w:leader="none" w:pos="112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Powers of Attorney for certain officers and directors and the authorized representative of the Company.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Set forth on the signature pages hereto.</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jc w:val="both"/>
        <w:ind w:left="1120" w:hanging="559"/>
        <w:spacing w:after="0" w:line="266" w:lineRule="auto"/>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5" w:lineRule="exact"/>
        <w:rPr>
          <w:rFonts w:ascii="Times New Roman" w:cs="Times New Roman" w:eastAsia="Times New Roman" w:hAnsi="Times New Roman"/>
          <w:sz w:val="18"/>
          <w:szCs w:val="18"/>
          <w:color w:val="auto"/>
        </w:rPr>
      </w:pPr>
    </w:p>
    <w:p>
      <w:pPr>
        <w:jc w:val="both"/>
        <w:ind w:left="1120" w:hanging="559"/>
        <w:spacing w:after="0" w:line="261" w:lineRule="auto"/>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Citibank, N.A., acting solely on behalf of the legal entity created by the Deposit Agreement, by and among PureTech Health plc, Citibank, N.A., as depositary, and all Holders and Beneficial Owners from time to time of American Depositary Shares to be issued thereunder, certifies that it has reasonable grounds to believe that all the requirements for filing on Form F-6 are met and has duly caused this Post-Effective Amendment No. 1 to Registration Statement on Form F-6 to be signed on its behalf by the undersigned, thereunto duly authorized, in the City of New York, State of New York, on the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day of May, 2026.</w:t>
      </w:r>
    </w:p>
    <w:p>
      <w:pPr>
        <w:spacing w:after="0" w:line="5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Legal entity created by the Deposit Agreement under which</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the American Depositary Shares registered hereunder are to</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be issued, each American Depositary Share representing the</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right to receive ten (10) ordinary shares of PureTech Health</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plc.</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CITIBANK, N.A., solely in its capacity as Depositary</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Leslie DeLuca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Leslie DeLuca</w:t>
      </w:r>
    </w:p>
    <w:p>
      <w:pPr>
        <w:spacing w:after="0" w:line="23" w:lineRule="exact"/>
        <w:rPr>
          <w:sz w:val="20"/>
          <w:szCs w:val="20"/>
          <w:color w:val="auto"/>
        </w:rPr>
      </w:pPr>
    </w:p>
    <w:p>
      <w:pPr>
        <w:ind w:left="7320"/>
        <w:spacing w:after="0"/>
        <w:tabs>
          <w:tab w:leader="none" w:pos="7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 in Fact</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PureTech Health plc certifies that it has reasonable grounds to believe that all the requirements for filing on Form F-6 are met and has duly caused this Post-Effective Amendment No. 1 to Registration Statement on Form F-6 to be signed on its behalf by the undersigned thereunto duly authorized, in the City of Boston, Commonwealth of Massachusetts, on May 18, 2026.</w:t>
      </w:r>
    </w:p>
    <w:p>
      <w:pPr>
        <w:spacing w:after="0" w:line="17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Lyne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Robert Lyne</w:t>
      </w:r>
    </w:p>
    <w:p>
      <w:pPr>
        <w:spacing w:after="0" w:line="23" w:lineRule="exact"/>
        <w:rPr>
          <w:sz w:val="20"/>
          <w:szCs w:val="20"/>
          <w:color w:val="auto"/>
        </w:rPr>
      </w:pPr>
    </w:p>
    <w:p>
      <w:pPr>
        <w:ind w:left="732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POWERS OF ATTORNEY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each of Robert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Lyne and Charles Sherwood to act as his/her true and lawful attorney-in-fact and agent, with full power of substitution, for him/her and in his/her name, place and stead, in any and all such capacities, to sign any and all amendments, including post-effective amendments, and supplements to this Registration Statement, and to file the same, with all exhibits thereto and other documents in connection therewith, with the United States Securities and Exchange Commission, granting unto said attorney-in-fact and agent full power and authority to do and perform each and every act and thing requisite and necessary to be done in and about the premises, as fully to all intents and purposes as s/he might or could do in person, hereby ratifying and confirming all that said attorney-in-fact and agent, or his/her substitute or substitutes, may lawfully do or cause to be done by virtue hereof.</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Post-Effective Amendment No. 1 to Registration Statement on Form F-6 has been signed by the following persons in the following capacities on May 22, 2026.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Signature</w:t>
            </w:r>
          </w:p>
        </w:tc>
        <w:tc>
          <w:tcPr>
            <w:tcW w:w="3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Title</w:t>
            </w:r>
          </w:p>
        </w:tc>
        <w:tc>
          <w:tcPr>
            <w:tcW w:w="5840" w:type="dxa"/>
            <w:vAlign w:val="bottom"/>
          </w:tcPr>
          <w:p>
            <w:pPr>
              <w:spacing w:after="0"/>
              <w:rPr>
                <w:sz w:val="17"/>
                <w:szCs w:val="17"/>
                <w:color w:val="auto"/>
              </w:rPr>
            </w:pPr>
          </w:p>
        </w:tc>
      </w:tr>
      <w:tr>
        <w:trPr>
          <w:trHeight w:val="453"/>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Robert Lyne</w:t>
            </w: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Lyne</w:t>
            </w:r>
          </w:p>
        </w:tc>
        <w:tc>
          <w:tcPr>
            <w:tcW w:w="11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and Financial Officer)</w:t>
            </w: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Inbar</w:t>
            </w: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Inbar</w:t>
            </w:r>
          </w:p>
        </w:tc>
        <w:tc>
          <w:tcPr>
            <w:tcW w:w="11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Sharon Barber-Lui</w:t>
            </w: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Chair of the Board</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Sharon Barber-Lui</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Michele Holcomb, Ph.D.</w:t>
            </w: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Michele Holcomb, Ph.D.</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LaMattina, Ph.D.</w:t>
            </w: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LaMattina, Ph.D.</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Robert Langer, Sc.D.</w:t>
            </w: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Langer, Sc.D.</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Kiran Mazumdar-Shaw</w:t>
            </w:r>
          </w:p>
        </w:tc>
        <w:tc>
          <w:tcPr>
            <w:tcW w:w="1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Kiran Mazumdar-Shaw</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549"/>
        </w:trPr>
        <w:tc>
          <w:tcPr>
            <w:tcW w:w="7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II-5</w:t>
            </w:r>
          </w:p>
        </w:tc>
      </w:tr>
    </w:tbl>
    <w:p>
      <w:pPr>
        <w:sectPr>
          <w:pgSz w:w="11900" w:h="16838" w:orient="portrait"/>
          <w:cols w:equalWidth="0" w:num="1">
            <w:col w:w="11240"/>
          </w:cols>
          <w:pgMar w:left="320" w:top="79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 OF AUTHORIZED REPRESENTATIVE OF THE REGISTRANT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the Securities Act of 1933, as amended, the undersigned, the duly authorized representative in the United States of America, has signed this Post-Effective Amendment No. 1 to Registration Statement on Form F-6 in the City of Boston, Commonwealth of Massachusetts, on May 18, 2026.</w:t>
      </w:r>
    </w:p>
    <w:p>
      <w:pPr>
        <w:spacing w:after="0" w:line="15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PURETECH HEALTH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67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Lyne</w:t>
            </w:r>
          </w:p>
        </w:tc>
      </w:tr>
      <w:tr>
        <w:trPr>
          <w:trHeight w:val="191"/>
        </w:trPr>
        <w:tc>
          <w:tcPr>
            <w:tcW w:w="7320" w:type="dxa"/>
            <w:vAlign w:val="bottom"/>
          </w:tcPr>
          <w:p>
            <w:pPr>
              <w:ind w:left="67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Lyne</w:t>
            </w:r>
          </w:p>
        </w:tc>
      </w:tr>
      <w:tr>
        <w:trPr>
          <w:trHeight w:val="234"/>
        </w:trPr>
        <w:tc>
          <w:tcPr>
            <w:tcW w:w="7320" w:type="dxa"/>
            <w:vAlign w:val="bottom"/>
          </w:tcPr>
          <w:p>
            <w:pPr>
              <w:ind w:left="67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67"/>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Index to Exhibits</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430"/>
        </w:trPr>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Sequentially</w:t>
            </w:r>
          </w:p>
        </w:tc>
      </w:tr>
      <w:tr>
        <w:trPr>
          <w:trHeight w:val="198"/>
        </w:trPr>
        <w:tc>
          <w:tcPr>
            <w:tcW w:w="840" w:type="dxa"/>
            <w:vAlign w:val="bottom"/>
          </w:tcPr>
          <w:p>
            <w:pPr>
              <w:spacing w:after="0"/>
              <w:rPr>
                <w:sz w:val="17"/>
                <w:szCs w:val="17"/>
                <w:color w:val="auto"/>
              </w:rPr>
            </w:pPr>
          </w:p>
        </w:tc>
        <w:tc>
          <w:tcPr>
            <w:tcW w:w="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820" w:type="dxa"/>
            <w:vAlign w:val="bottom"/>
          </w:tcPr>
          <w:p>
            <w:pPr>
              <w:spacing w:after="0"/>
              <w:rPr>
                <w:sz w:val="17"/>
                <w:szCs w:val="17"/>
                <w:color w:val="auto"/>
              </w:rPr>
            </w:pPr>
          </w:p>
        </w:tc>
        <w:tc>
          <w:tcPr>
            <w:tcW w:w="8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Document</w:t>
            </w:r>
          </w:p>
        </w:tc>
        <w:tc>
          <w:tcPr>
            <w:tcW w:w="324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4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Numbered Page</w:t>
            </w:r>
          </w:p>
        </w:tc>
      </w:tr>
      <w:tr>
        <w:trPr>
          <w:trHeight w:val="20"/>
        </w:trPr>
        <w:tc>
          <w:tcPr>
            <w:tcW w:w="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453"/>
        </w:trPr>
        <w:tc>
          <w:tcPr>
            <w:tcW w:w="8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(a)(i)</w:t>
            </w:r>
          </w:p>
        </w:tc>
        <w:tc>
          <w:tcPr>
            <w:tcW w:w="820" w:type="dxa"/>
            <w:vAlign w:val="bottom"/>
          </w:tcPr>
          <w:p>
            <w:pPr>
              <w:spacing w:after="0"/>
              <w:rPr>
                <w:sz w:val="24"/>
                <w:szCs w:val="24"/>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Amendment No. 1 to Deposit Agreement</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14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(a)(ii)</w:t>
            </w: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Deposit Agreement</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432"/>
        </w:trPr>
        <w:tc>
          <w:tcPr>
            <w:tcW w:w="8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CITIBANK, N.A.,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Depositary,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HOLDERS AND BENEFICIAL OWNERS OF</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AMERICAN DEPOSITARY SHARES ISSUED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OUTSTANDING UNDER THE TERMS 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DEPOSIT AGREEMENT, DATED AS OF NOVEMBER 11, 2020</w:t>
      </w:r>
    </w:p>
    <w:p>
      <w:pPr>
        <w:spacing w:after="0" w:line="2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Deposit Agreement</w:t>
      </w:r>
    </w:p>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Dated as of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386080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180" w:type="dxa"/>
            <w:vAlign w:val="bottom"/>
            <w:gridSpan w:val="3"/>
          </w:tcPr>
          <w:p>
            <w:pPr>
              <w:ind w:left="1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2540" w:type="dxa"/>
            <w:vAlign w:val="bottom"/>
          </w:tcPr>
          <w:p>
            <w:pPr>
              <w:spacing w:after="0"/>
              <w:rPr>
                <w:sz w:val="17"/>
                <w:szCs w:val="17"/>
                <w:color w:val="auto"/>
              </w:rPr>
            </w:pPr>
          </w:p>
        </w:tc>
        <w:tc>
          <w:tcPr>
            <w:tcW w:w="21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17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6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1.02</w:t>
            </w:r>
          </w:p>
        </w:tc>
        <w:tc>
          <w:tcPr>
            <w:tcW w:w="6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Effective Date</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w:t>
            </w:r>
          </w:p>
        </w:tc>
        <w:tc>
          <w:tcPr>
            <w:tcW w:w="79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AMENDMENTS TO DEPOSIT AGREEMENT</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2.01</w:t>
            </w:r>
          </w:p>
        </w:tc>
        <w:tc>
          <w:tcPr>
            <w:tcW w:w="6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Deposit Agreement</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2.02</w:t>
            </w:r>
          </w:p>
        </w:tc>
        <w:tc>
          <w:tcPr>
            <w:tcW w:w="6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Amendments Binding on all Holders and Beneficial Owners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2.03</w:t>
            </w:r>
          </w:p>
        </w:tc>
        <w:tc>
          <w:tcPr>
            <w:tcW w:w="6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Deregistration of Securities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w:t>
            </w:r>
          </w:p>
        </w:tc>
        <w:tc>
          <w:tcPr>
            <w:tcW w:w="79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AMENDMENTS TO THE FORM OF ADR</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3.01</w:t>
            </w:r>
          </w:p>
        </w:tc>
        <w:tc>
          <w:tcPr>
            <w:tcW w:w="6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ADR Amendments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3.02</w:t>
            </w:r>
          </w:p>
        </w:tc>
        <w:tc>
          <w:tcPr>
            <w:tcW w:w="6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Deregistration of Securities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0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w:t>
            </w:r>
          </w:p>
        </w:tc>
        <w:tc>
          <w:tcPr>
            <w:tcW w:w="79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4.01</w:t>
            </w:r>
          </w:p>
        </w:tc>
        <w:tc>
          <w:tcPr>
            <w:tcW w:w="6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w:t>
            </w:r>
          </w:p>
        </w:tc>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MISCELLANEOUS</w:t>
            </w:r>
          </w:p>
        </w:tc>
        <w:tc>
          <w:tcPr>
            <w:tcW w:w="17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5.01</w:t>
            </w:r>
          </w:p>
        </w:tc>
        <w:tc>
          <w:tcPr>
            <w:tcW w:w="6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New ADRs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5.02</w:t>
            </w:r>
          </w:p>
        </w:tc>
        <w:tc>
          <w:tcPr>
            <w:tcW w:w="6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Notice of Amendment to Holders of ADSs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5.03</w:t>
            </w:r>
          </w:p>
        </w:tc>
        <w:tc>
          <w:tcPr>
            <w:tcW w:w="6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Indemnification</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5.04</w:t>
            </w:r>
          </w:p>
        </w:tc>
        <w:tc>
          <w:tcPr>
            <w:tcW w:w="6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Ratification</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5.05</w:t>
            </w:r>
          </w:p>
        </w:tc>
        <w:tc>
          <w:tcPr>
            <w:tcW w:w="6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1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5.06</w:t>
            </w:r>
          </w:p>
        </w:tc>
        <w:tc>
          <w:tcPr>
            <w:tcW w:w="6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w:t>
            </w:r>
          </w:p>
        </w:tc>
        <w:tc>
          <w:tcPr>
            <w:tcW w:w="17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B</w:t>
            </w:r>
          </w:p>
        </w:tc>
        <w:tc>
          <w:tcPr>
            <w:tcW w:w="17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NO. 1 TO DEPOSIT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AMENDMENT NO. 1 TO DEPOSIT AGREEMENT, dated as of [●], 2026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by and among PureTech Health plc, a public limited company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 national banking association organized under the laws of the United States of America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(each as defined in the Deposit Agreement (as hereinafter defined)) from time to time of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 THAT: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Company, the Depositary, and all Holders and Beneficial Owners of ADSs, entered into that certain Deposit Agreement, dated as of November 11, 2020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for the creation of ADSs representing the Shares (as defined in the Deposit Agreement) deposited thereunder and for the execution and delivery of American Depositary Receipts (“</w:t>
      </w:r>
      <w:r>
        <w:rPr>
          <w:rFonts w:ascii="Times New Roman" w:cs="Times New Roman" w:eastAsia="Times New Roman" w:hAnsi="Times New Roman"/>
          <w:sz w:val="18"/>
          <w:szCs w:val="18"/>
          <w:u w:val="single" w:color="auto"/>
          <w:color w:val="auto"/>
        </w:rPr>
        <w:t>ADRs</w:t>
      </w:r>
      <w:r>
        <w:rPr>
          <w:rFonts w:ascii="Times New Roman" w:cs="Times New Roman" w:eastAsia="Times New Roman" w:hAnsi="Times New Roman"/>
          <w:sz w:val="18"/>
          <w:szCs w:val="18"/>
          <w:color w:val="auto"/>
        </w:rPr>
        <w:t>”) in respect of the ADSs; and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Company has delisted its ADSs from NASDAQ and filed a Form 15F with the U.S.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in order to seek to terminate the registration of its securities under the U.S.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its obligation to file with the SEC, or submit to the SEC, reports under Sections 13(a) and 15(d) of the Exchange Act.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Company desires to (i) amend the Deposit Agreement, the ADRs currently outstanding and the form of ADR annexed to the Deposit Agreement to reflect the de-registration of the Company’s securities, and (ii) to give notice thereof to all Holders (as defined in the Deposit Agreement) of ADSs; and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pursuant to Section 6.1 of the Deposit Agreement, the Company and the Depositary deem it necessary and desirable to amend the Deposit Agreement, the ADRs currently outstanding and the form of ADR annexed to the Deposit Agreement as Exhibit A for the purposes set forth herein;</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NOW, THEREFORE, for good and valuable consideration, the receipt and sufficiency of which are hereby acknowledged, the Company and the Depositary hereby agree to amend the Deposit Agreement, the ADRs currently outstanding and the form of ADR annexed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Unless otherwise specified in this Amendment, all capitalized terms used, but not defined, herein shall have the meanings given to such terms in the Deposit Agreement.</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ind w:left="130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term “Effective Date” shall mean the date set forth above and as of which this Amendment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effective.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AMENDMENTS TO DEPOSIT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All references in the Deposit Agreement to the term “Deposit Agreement” shall, as of the Effective Date, refer to the Deposit Agreement, dated as of November 11, 2020, as amended by this Amendment and as may be further amended and supplemented from time to time after the Effective Date.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Amendments Binding on all Holders and Beneficial Owners</w:t>
      </w:r>
      <w:r>
        <w:rPr>
          <w:rFonts w:ascii="Times New Roman" w:cs="Times New Roman" w:eastAsia="Times New Roman" w:hAnsi="Times New Roman"/>
          <w:sz w:val="18"/>
          <w:szCs w:val="18"/>
          <w:color w:val="auto"/>
        </w:rPr>
        <w:t>. From and after the Effective Date, the amendments to the Deposit Agreement effected hereby shall be binding on all Holders and Beneficial Owners of ADSs issued and outstanding as of the Effective Date and on all Holders and Beneficial Owners of ADSs issued after the Effective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Deregistration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Section 4.12 of the Deposit Agreement is hereby amended as of the Effective Date and replacing such section with the following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stead:</w:t>
      </w:r>
    </w:p>
    <w:p>
      <w:pPr>
        <w:spacing w:after="0" w:line="207"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Available Information</w:t>
      </w:r>
      <w:r>
        <w:rPr>
          <w:rFonts w:ascii="Times New Roman" w:cs="Times New Roman" w:eastAsia="Times New Roman" w:hAnsi="Times New Roman"/>
          <w:sz w:val="18"/>
          <w:szCs w:val="18"/>
          <w:color w:val="auto"/>
        </w:rPr>
        <w:t>. The Company has in the past been subject to the periodic reporting requirements of the Exchange Act, and has filed certain reports with, and submitted certain information to, the Commission, which reports can be retrieved from the Commission’s internet website at www.sec.gov, and can be inspected and copied at the public reference facilities maintained by the Commission located at 100 F Street, N.E., Washington, D.C. 20549. The Company has filed a Form 15F (“</w:t>
      </w:r>
      <w:r>
        <w:rPr>
          <w:rFonts w:ascii="Times New Roman" w:cs="Times New Roman" w:eastAsia="Times New Roman" w:hAnsi="Times New Roman"/>
          <w:sz w:val="18"/>
          <w:szCs w:val="18"/>
          <w:u w:val="single" w:color="auto"/>
          <w:color w:val="auto"/>
        </w:rPr>
        <w:t>Form 15F</w:t>
      </w:r>
      <w:r>
        <w:rPr>
          <w:rFonts w:ascii="Times New Roman" w:cs="Times New Roman" w:eastAsia="Times New Roman" w:hAnsi="Times New Roman"/>
          <w:sz w:val="18"/>
          <w:szCs w:val="18"/>
          <w:color w:val="auto"/>
        </w:rPr>
        <w:t>”) with the Commission to terminate the registration of its securities under the Exchange Act and its reporting obligations under Sections 13(a) and 15(d) of the Exchange Act. Upon filing of Form 15F, the Company’s obligation under the Exchange Act to file or submit reports required under Sections 13(a) or 15(d) of the Exchange Act was suspended. Upon effectiveness of Form 15F, the Company’s duty to file or submit reports under Sections 13(a) and 15(d) of the Exchange Act will terminate. Pursuant to Rule 12g3-2(b)(1) promulgated under the Exchange Act, the Company is exempt from the reporting obligations of the Exchange Act. In order to satisfy the conditions of Rule 12g3-2(b) and to maintain the exemption from registration, the Company publishes in English the information contemplated in Rule 12g3-2(b)(2)(i) under the Exchange Act on its internet website (https://puretechhealth.com) or through an electronic information delivery system generally available to the public in the Company’s primary trading market. The information so published by the Company cannot be retrieved from the Commission’s internet website, and cannot be inspected or copied at the public reference facilities maintained by the Commission. If the Form 15F does not become effective, the Company will again be subject to the periodic reporting requirements of the Exchange Act and will be required to file with the Commission, and submit to the Commission, certain reports that can be retrieved from the Commission’s internet website at www.sec.gov, and can be inspected and copied at the public reference facilities maintained by the Commission.”</w:t>
      </w:r>
    </w:p>
    <w:p>
      <w:pPr>
        <w:spacing w:after="0" w:line="2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ind w:right="340" w:firstLine="1304"/>
        <w:spacing w:after="0" w:line="282" w:lineRule="auto"/>
        <w:tabs>
          <w:tab w:leader="none" w:pos="15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5.6 of the Deposit Agreement is hereby amended by deleting the second paragraph as of the Effective Date and replacing such paragraph with the following in its stead:</w:t>
      </w:r>
    </w:p>
    <w:p>
      <w:pPr>
        <w:spacing w:after="0" w:line="16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Company will also transmit to the Depositary (a) an English language version of the other notices, reports and communications which are made generally available by the Company to holders of its Shares or other Deposited Securities and (b) the English-language versions of the Company’s annual (if any) and semi-annual reports (if any), in each case of (a) and (b) only to the extent required pursuant to any regulations of the Commission and such material is not available on the Company’s website or is not otherwise publicly available. The Depositary shall arrange, at the request of the Company and at the Company’s expense, to provide copies thereof to all Beneficial Owners or make such notices, reports and other communications available to all Beneficial Owners on a basis similar to that for holders of Shares or other Deposited Securities or on such other basis as the Company may advise the Depositary or as may be required by any applicable law, regulation or stock exchange requirement.”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AMENDMENTS TO THE FORM OF ADR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ADR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6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paragraph (1) of the form of ADR attached as Exhibit A to the Deposit Agreement and in each of the ADRs issued and outstanding under the terms of the Deposit Agreement is hereby amended as of the Effective Date by deleting such sentence in its entirety and inserting the following in its stead:</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“This American Depositary Receipt is one of an issue of American Depositary Receipts (“ADRs”), all issued and to be issued upon the terms and conditions set forth in the Deposit Agreement, dated as of November 11, 2020, as amended by Amendment No. 1 to Deposit Agreement, dated as of [●], 2026 (as amended and supplemented from time to time, the “Deposit Agreement”), by and among the Company, the Depositary, and all Holders and Beneficial Owners from time to time of ADSs issued thereunder.”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Deregistration of Securities</w:t>
      </w:r>
      <w:r>
        <w:rPr>
          <w:rFonts w:ascii="Times New Roman" w:cs="Times New Roman" w:eastAsia="Times New Roman" w:hAnsi="Times New Roman"/>
          <w:sz w:val="18"/>
          <w:szCs w:val="18"/>
          <w:color w:val="auto"/>
        </w:rPr>
        <w:t xml:space="preserve">. To reflect the application by the Company to terminate the registration of its securities under the Exchange Act, the form of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and each of the ADRs issued and outstanding under the terms of the Deposit Agreement is hereby amended as of the Effective Date by deleting the first paragraph of paragraph (14) in its entirety and inserting the following in its stead:</w:t>
      </w:r>
    </w:p>
    <w:p>
      <w:pPr>
        <w:spacing w:after="0" w:line="180"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“The Company has in the past been subject to the periodic reporting requirements of the Exchange Act, and has filed certain reports with, and submitted certain information to, the Commission, which reports can be retrieved from the Commission’s website at www.sec.gov, and can be inspected and copied at the public reference facilities maintained by the Commission located at 100 F Street, N.E., Washington D.C. 20549. The Company has filed a Form 15F with the Commission to terminate the registration of its securities under the Exchange Act and its reporting obligations under Sections 13(a) and 15(d) of the Exchange Act. Upon filing of Form 15F, the Company’s obligation under the Exchange Act was suspended. Upon effectiveness of Form 15F, the Company’s duty to file or submit reports under Section 13(a) and 15(d) of the Exchange Act will terminate. Pursuant to Rule 12g3-2(b)(1) promulgated under the Exchange Act, the Company is exempt from the reporting obligations of the Exchange Act. In order to satisfy the conditions of Rule 12g3-2(b) and to maintain the exemption from registration, the Company published in English the information contemplated in Rule 12g3-2(b)(2)(i) under the Exchange Act on its internet website or through an electronic information delivery system generally available to the public in the Company’s primary trading market. The Company has specified in Form 15F, https://puretechhealth.com, as the internet website or the electronic information delivery system on which it will publish such information. The information so published by the Company cannot be retrieved from the Commission’s internet website, and cannot be inspected or copied at the public reference facilities maintained by the Commission. If the Form 15F does not become effective, the Company will again be subject to the periodic reporting requirements of the Exchange Act and will be required to file with the Commission, and submit to the Commission, certain reports that can be retrieved from the Commission’s internet website at www.sec.gov, and can be inspected and copied at the public facilities maintained by the Commission.</w:t>
      </w:r>
    </w:p>
    <w:p>
      <w:pPr>
        <w:spacing w:after="0" w:line="2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Depositary shall make available for inspection by Holders at its Principal Office, as promptly as practicable after receipt thereof,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Deposit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Depositary and 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and Beneficial Owners, that:</w:t>
      </w:r>
    </w:p>
    <w:p>
      <w:pPr>
        <w:spacing w:after="0" w:line="207" w:lineRule="exact"/>
        <w:rPr>
          <w:sz w:val="20"/>
          <w:szCs w:val="20"/>
          <w:color w:val="auto"/>
        </w:rPr>
      </w:pPr>
    </w:p>
    <w:p>
      <w:pPr>
        <w:jc w:val="both"/>
        <w:ind w:firstLine="1304"/>
        <w:spacing w:after="0" w:line="258" w:lineRule="auto"/>
        <w:tabs>
          <w:tab w:leader="none" w:pos="159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when executed and delivered by the Company, and the Deposit Agreement and all other documentation executed and delivered by the Company in connection therewith, will be and have been, respectively, duly and validly authorized, executed and delivered by the Company, and constitute the legal, valid and binding obligations of the Company, enforceable against the Company in accordance with their respective terms, subject to bankruptcy, insolvency, fraudulent transfer, moratorium and similar laws of general applicability relating to or affecting creditors’ rights and to general equity principles; and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ensure the legality, validity, enforceability or admissibility into evidence of this Amendment or the Deposit Agreement as amended hereby, and other document furnished hereunder or thereunder in England and Wales, neither of such agreements need to be filed or recorded with any court or other authority in England and Wales, nor does any stamp or similar tax need be paid in England and Wales on or in respect of such agreements; and</w:t>
      </w:r>
    </w:p>
    <w:p>
      <w:pPr>
        <w:spacing w:after="0" w:line="179"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information provided to the Depositary by the Company in connection with this Amendment is true, accurate and correct.</w:t>
      </w:r>
    </w:p>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New ADRs</w:t>
      </w:r>
      <w:r>
        <w:rPr>
          <w:rFonts w:ascii="Times New Roman" w:cs="Times New Roman" w:eastAsia="Times New Roman" w:hAnsi="Times New Roman"/>
          <w:sz w:val="18"/>
          <w:szCs w:val="18"/>
          <w:color w:val="auto"/>
        </w:rPr>
        <w:t xml:space="preserve">. From and after the Effective Date, the Depositary shall arrange to have new ADRs printed or amended that reflect the changes to the form of ADR effected by this Amendment. All ADRs issued hereunder after the Effective Date, once such new ADRs are available, whether upon the deposit of Shares or other Deposited Securities or upon the transfer, combination or split up of existing ADRs, shall be substantially in the form of the specimen ADR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However, ADRs issued prior or subsequent to the date hereof, which do not reflect the changes to the form of ADR effected hereby, do not need to be called in for exchange and may remain outstanding until such time as all Holders thereof choose to surrender them for any reason under the Deposit Agreement. The Depositary is authorized and directed to take any and all actions deemed necessary to effect the foregoing.</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Notice of Amendment to Holders of ADSs</w:t>
      </w:r>
      <w:r>
        <w:rPr>
          <w:rFonts w:ascii="Times New Roman" w:cs="Times New Roman" w:eastAsia="Times New Roman" w:hAnsi="Times New Roman"/>
          <w:sz w:val="18"/>
          <w:szCs w:val="18"/>
          <w:color w:val="auto"/>
        </w:rPr>
        <w:t xml:space="preserve">. The Depositary is hereby directed to send a notice informing the Holders of ADSs,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(i) of the terms of this Amendment, (ii) of the Effective Date of this Amendment, (iii) that copies of this Amendment may be retrieved from the Commission’s website at https://www.sec.gov and may be obtained from the Depositary and the Company upon request. The notice to Holders of ADSs shall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agrees to indemnify and hold harmless the Depositary (and any and all of its directors, employees and officers) for any and all liability it or they may incur as a result of the terms of this Amendment and the transactions contemplated herein.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Except as expressly amended hereby, the terms, covenants and conditions of the Deposit Agreement as originally executed shall remain in full force and effect.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interpreted in accordance with, and all rights hereunder and provisions hereof and thereof shall be governed by, the laws of the State of New York.</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each of which shall be deemed an original, and all of such counterparts together shall be deemed an original, and all such counterparts together shall constitute one and the same instrument.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Reminder of page left blank</w:t>
      </w:r>
      <w:r>
        <w:rPr>
          <w:rFonts w:ascii="Times New Roman" w:cs="Times New Roman" w:eastAsia="Times New Roman" w:hAnsi="Times New Roman"/>
          <w:sz w:val="18"/>
          <w:szCs w:val="18"/>
          <w:color w:val="auto"/>
        </w:rPr>
        <w:t>]</w:t>
      </w:r>
    </w:p>
    <w:p>
      <w:pPr>
        <w:spacing w:after="0" w:line="3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and the Depositary have caused this Amendment to be executed by representatives thereunto duly authorized as of the date set forth above.</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CITIBANK, N.A., as Depositary</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ADR]</w:t>
      </w:r>
    </w:p>
    <w:p>
      <w:pPr>
        <w:sectPr>
          <w:pgSz w:w="11900" w:h="16838" w:orient="portrait"/>
          <w:cols w:equalWidth="0" w:num="1">
            <w:col w:w="11240"/>
          </w:cols>
          <w:pgMar w:left="320" w:top="792"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NUMBER: _______</w:t>
      </w:r>
    </w:p>
    <w:p>
      <w:pPr>
        <w:spacing w:after="0" w:line="27" w:lineRule="exact"/>
        <w:rPr>
          <w:sz w:val="20"/>
          <w:szCs w:val="20"/>
          <w:color w:val="auto"/>
        </w:rPr>
      </w:pPr>
    </w:p>
    <w:p>
      <w:pPr>
        <w:sectPr>
          <w:pgSz w:w="11900" w:h="16838" w:orient="portrait"/>
          <w:cols w:equalWidth="0" w:num="2">
            <w:col w:w="8420" w:space="720"/>
            <w:col w:w="2100"/>
          </w:cols>
          <w:pgMar w:left="320" w:top="79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American Depositary Shares (each American</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Depositary Share representing the right to</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receive ten (10) fully paid ordinary shares)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RECEIPT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DEPOSITED ORDINARY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England and Wales)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CITIBANK, N.A., a national banking association organized and existing under the laws of the United States of America, as depositary (the “Depositary”), hereby certifies that _____________is the owner of ______________ American Depositary Shares (hereinafter “ADS”) representing</w:t>
      </w:r>
    </w:p>
    <w:p>
      <w:pPr>
        <w:spacing w:after="0" w:line="250" w:lineRule="auto"/>
        <w:rPr>
          <w:sz w:val="20"/>
          <w:szCs w:val="20"/>
          <w:color w:val="auto"/>
        </w:rPr>
      </w:pPr>
      <w:r>
        <w:rPr>
          <w:rFonts w:ascii="Times New Roman" w:cs="Times New Roman" w:eastAsia="Times New Roman" w:hAnsi="Times New Roman"/>
          <w:sz w:val="18"/>
          <w:szCs w:val="18"/>
          <w:color w:val="auto"/>
        </w:rPr>
        <w:t>deposited ordinary shares, including evidence of rights to receive such ordinary shares (the “Shares”), of PureTech Health plc, a public limited company incorporated under the laws of England and Wales (the “Company”). As of the date of issuance of this ADR, each ADS represents the right to receive ten</w:t>
      </w:r>
    </w:p>
    <w:p>
      <w:pPr>
        <w:spacing w:after="0" w:line="1" w:lineRule="exact"/>
        <w:rPr>
          <w:sz w:val="20"/>
          <w:szCs w:val="20"/>
          <w:color w:val="auto"/>
        </w:rPr>
      </w:pPr>
    </w:p>
    <w:p>
      <w:pPr>
        <w:jc w:val="both"/>
        <w:ind w:firstLine="8"/>
        <w:spacing w:after="0" w:line="255" w:lineRule="auto"/>
        <w:tabs>
          <w:tab w:leader="none" w:pos="3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deposited under the Deposit Agreement (as hereinafter defined) with the Custodian, which at the date of issuance of this ADR is Citibank, N.A. (London) (the “Custodian”). The ADS(s)-to-Share(s) ratio is subject to amendment as provided in Articles IV and VI of the Deposit Agreement. The Depositary’s Principal Office is located at 388 Greenwich Street, New York, New York 10013, U.S.A.</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22" w:name="page23"/>
    <w:bookmarkEnd w:id="22"/>
    <w:p>
      <w:pPr>
        <w:jc w:val="both"/>
        <w:ind w:firstLine="656"/>
        <w:spacing w:after="0" w:line="253" w:lineRule="auto"/>
        <w:tabs>
          <w:tab w:leader="none" w:pos="948"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American Depositary Receipt is one of an issue of American Depositary Receipts (“ADRs”), all issued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issued upon the terms and conditions set forth in the Deposit Agreement, dated as of November 11, 2020, as amended by Amendment No. 1 to Deposit Agreement, dated as of [ ● ], 2026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not defined herein shall have the meanings ascribed thereto in the Deposit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76" w:lineRule="exact"/>
        <w:rPr>
          <w:sz w:val="20"/>
          <w:szCs w:val="20"/>
          <w:color w:val="auto"/>
        </w:rPr>
      </w:pPr>
    </w:p>
    <w:p>
      <w:pPr>
        <w:jc w:val="both"/>
        <w:ind w:firstLine="656"/>
        <w:spacing w:after="0" w:line="253" w:lineRule="auto"/>
        <w:tabs>
          <w:tab w:leader="none" w:pos="948"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this ADR (and of the ADSs evidenced hereby) shall be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w:t>
      </w:r>
    </w:p>
    <w:p>
      <w:pPr>
        <w:spacing w:after="0" w:line="4"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3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Deposit Agreement, of this ADR evidencing the ADS so canceled, of the Articles of Association of the Company, of any applicable laws and of the rules of CREST, and to the terms and conditions of or governing the Deposited Securities, in each case as in effect at the time thereof.</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as a result of such sale) to the person surrendering the ADSs.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jc w:val="both"/>
        <w:ind w:firstLine="656"/>
        <w:spacing w:after="0" w:line="254" w:lineRule="auto"/>
        <w:tabs>
          <w:tab w:leader="none" w:pos="948"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Combination and Split-up of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transfer of this ADR (and of the ADSs represented hereby)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books 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this ADR, of the Deposit Agreement and of applicable law, in each case as in effect at the time thereof.</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w:t>
      </w:r>
    </w:p>
    <w:p>
      <w:pPr>
        <w:spacing w:after="0" w:line="3" w:lineRule="exact"/>
        <w:rPr>
          <w:sz w:val="20"/>
          <w:szCs w:val="20"/>
          <w:color w:val="auto"/>
        </w:rPr>
      </w:pPr>
    </w:p>
    <w:p>
      <w:pPr>
        <w:jc w:val="both"/>
        <w:ind w:firstLine="8"/>
        <w:spacing w:after="0" w:line="255" w:lineRule="auto"/>
        <w:tabs>
          <w:tab w:leader="none" w:pos="2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of the Deposit Agreement and of applicable law, in each case as in effect at the time thereof.</w:t>
      </w:r>
    </w:p>
    <w:p>
      <w:pPr>
        <w:spacing w:after="0" w:line="181" w:lineRule="exact"/>
        <w:rPr>
          <w:rFonts w:ascii="Times New Roman" w:cs="Times New Roman" w:eastAsia="Times New Roman" w:hAnsi="Times New Roman"/>
          <w:sz w:val="18"/>
          <w:szCs w:val="18"/>
          <w:color w:val="auto"/>
        </w:rPr>
      </w:pPr>
    </w:p>
    <w:p>
      <w:pPr>
        <w:jc w:val="both"/>
        <w:ind w:firstLine="656"/>
        <w:spacing w:after="0" w:line="254" w:lineRule="auto"/>
        <w:tabs>
          <w:tab w:leader="none" w:pos="948"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Pre-Conditions to Registration, Transfer,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 (a)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jc w:val="both"/>
        <w:ind w:firstLine="656"/>
        <w:spacing w:after="0" w:line="255" w:lineRule="auto"/>
        <w:tabs>
          <w:tab w:leader="none" w:pos="97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this ADR, each Holder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Beneficial Owner of the ADSs represented hereby agrees to comply with requests from the Company pursuant to applicable law, the rules and requirements of any stock exchange on which the Shares or ADSs are, or will be, registered, traded or listed, or the Articles of Association of the Company,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the Shares represented by such ADSs,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948"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contained in this ADR or of the Deposit Agreement, the Company may restrict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the mandatory sale or disposition on behalf of a Holder or Beneficial Owner of the Shares represented by the ADSs held by such Holder or Beneficial Owner in excess of such limitations, if and to the extent such disposition is permitted by applicable law and (if required)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 provision of the Deposit Agreement or of the ADRs and without limiting the foregoing, by being a Holder or Beneficial Owner of an ADS, each such Holder and Beneficial Owner agrees to provide such information as the Company may request in a disclosure notice (a “</w:t>
      </w:r>
      <w:r>
        <w:rPr>
          <w:rFonts w:ascii="Times New Roman" w:cs="Times New Roman" w:eastAsia="Times New Roman" w:hAnsi="Times New Roman"/>
          <w:sz w:val="18"/>
          <w:szCs w:val="18"/>
          <w:u w:val="single" w:color="auto"/>
          <w:color w:val="auto"/>
        </w:rPr>
        <w:t>Disclosure Notice</w:t>
      </w:r>
      <w:r>
        <w:rPr>
          <w:rFonts w:ascii="Times New Roman" w:cs="Times New Roman" w:eastAsia="Times New Roman" w:hAnsi="Times New Roman"/>
          <w:sz w:val="18"/>
          <w:szCs w:val="18"/>
          <w:color w:val="auto"/>
        </w:rPr>
        <w:t>”) given pursuant to the U.K. Companies Act 2006 (as amended from time to time and including any statutory modification or re-enactment thereof, the “</w:t>
      </w:r>
      <w:r>
        <w:rPr>
          <w:rFonts w:ascii="Times New Roman" w:cs="Times New Roman" w:eastAsia="Times New Roman" w:hAnsi="Times New Roman"/>
          <w:sz w:val="18"/>
          <w:szCs w:val="18"/>
          <w:u w:val="single" w:color="auto"/>
          <w:color w:val="auto"/>
        </w:rPr>
        <w:t>Companies Act</w:t>
      </w:r>
      <w:r>
        <w:rPr>
          <w:rFonts w:ascii="Times New Roman" w:cs="Times New Roman" w:eastAsia="Times New Roman" w:hAnsi="Times New Roman"/>
          <w:sz w:val="18"/>
          <w:szCs w:val="18"/>
          <w:color w:val="auto"/>
        </w:rPr>
        <w:t>”) or the Articles of Association of the Company. By accepting or holding an ADS, each Holder and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the imposition of restrictions on the rights to receive dividends on and to transfer such Shares.</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addition, by accepting or holding an ADR, each Holder and Beneficial Owner agrees to comply with the provisions of the DTRs, which as of the date of this Deposit Agreement provide,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a person must notify the Company of the percentage of its voting rights which such person holds as a shareholder or is deemed to hold through such person’s direct or indirect holding of certain financial instruments (as defined in the DTRs) (or a combination of such holdings) if the percentage of such voting rights (i) reaches, exceeds or falls below 3% and each 1% threshold thereafter up to 100% as a result of an acquisition or disposal of Shares or certain financial instruments, or (ii) reaches, exceeds or falls below such applicable thresholds as a result of events changing the breakdown of voting rights and on the basis of information disclosed by the Company in accordance with the DTRs. Such notification must be effected as soon as possible, but not later than two trading days after the date on which the Holder or Beneficial Owner (as the case may be) (a) learns of the acquisition or disposal or of the possibility of exercising voting rights, or on which, having regard to the circumstances, should have learned of it, regardless of the date on which the acquisition, disposal or possibility of exercising voting rights takes effect, or (b) is informed of the event mentioned in (ii) above.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reserves the right to instruct Holders and Beneficial Owners to deliver their ADSs for cancellation and withdrawal of the Deposited Securities so as to permit the Company to deal directly with the Holder and Beneficial Owner thereof as a holder of Shares and Holders agree to comply with such instructions. The Depositary agrees to cooperate with the Company in its efforts to inform Holders and Beneficial Owners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 or Beneficial Owner.</w:t>
      </w:r>
    </w:p>
    <w:p>
      <w:pPr>
        <w:spacing w:after="0" w:line="179" w:lineRule="exact"/>
        <w:rPr>
          <w:sz w:val="20"/>
          <w:szCs w:val="20"/>
          <w:color w:val="auto"/>
        </w:rPr>
      </w:pPr>
    </w:p>
    <w:p>
      <w:pPr>
        <w:jc w:val="both"/>
        <w:ind w:firstLine="656"/>
        <w:spacing w:after="0" w:line="256" w:lineRule="auto"/>
        <w:tabs>
          <w:tab w:leader="none" w:pos="961"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 owners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both"/>
        <w:ind w:firstLine="656"/>
        <w:spacing w:after="0" w:line="253" w:lineRule="auto"/>
        <w:tabs>
          <w:tab w:leader="none" w:pos="948"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the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transactions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0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to represent and warrant that (i) such Shares and the certificates therefor are duly authorized, validly allotted and issued, fully paid, not subject to any call for the payment of further capital and legally obtained by such person, (ii) all preemptive (and similar) rights, if any, with respect to such Shares have been validly waived, disapplied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and (vii) the deposit of the Shares does not violate any applicable provisions of English law.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1078"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and at the reasonable request of the Company, shall, to the extent practicable and subject to applicable law, withhold the execution or delivery or registration of transfer of any ADR or ADS or the distribution or sale of any dividend or distribution of rights or of the proceeds thereof or, to the extent not limited by paragraph (25) and Section 7.8 (a) of the Deposit Agreement,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ind w:left="384" w:hanging="384"/>
        <w:spacing w:after="0"/>
        <w:tabs>
          <w:tab w:leader="none" w:pos="38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ADS fees are payable under the terms of the Deposit Agreement:</w:t>
      </w:r>
    </w:p>
    <w:p>
      <w:pPr>
        <w:spacing w:after="0" w:line="227" w:lineRule="exact"/>
        <w:rPr>
          <w:rFonts w:ascii="Times New Roman" w:cs="Times New Roman" w:eastAsia="Times New Roman" w:hAnsi="Times New Roman"/>
          <w:sz w:val="18"/>
          <w:szCs w:val="18"/>
          <w:b w:val="1"/>
          <w:bCs w:val="1"/>
          <w:color w:val="auto"/>
        </w:rPr>
      </w:pPr>
    </w:p>
    <w:p>
      <w:pPr>
        <w:jc w:val="both"/>
        <w:ind w:left="1304" w:hanging="656"/>
        <w:spacing w:after="0" w:line="267" w:lineRule="auto"/>
        <w:tabs>
          <w:tab w:leader="none" w:pos="130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ADS Issuance Fee</w:t>
      </w:r>
      <w:r>
        <w:rPr>
          <w:rFonts w:ascii="Times New Roman" w:cs="Times New Roman" w:eastAsia="Times New Roman" w:hAnsi="Times New Roman"/>
          <w:sz w:val="18"/>
          <w:szCs w:val="18"/>
          <w:color w:val="auto"/>
        </w:rPr>
        <w:t>: by any person for whom ADSs are issued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173" w:lineRule="exact"/>
        <w:rPr>
          <w:rFonts w:ascii="Times New Roman" w:cs="Times New Roman" w:eastAsia="Times New Roman" w:hAnsi="Times New Roman"/>
          <w:sz w:val="18"/>
          <w:szCs w:val="18"/>
          <w:b w:val="1"/>
          <w:bCs w:val="1"/>
          <w:color w:val="auto"/>
        </w:rPr>
      </w:pPr>
    </w:p>
    <w:p>
      <w:pPr>
        <w:jc w:val="both"/>
        <w:ind w:left="1304" w:hanging="656"/>
        <w:spacing w:after="0" w:line="267" w:lineRule="auto"/>
        <w:tabs>
          <w:tab w:leader="none" w:pos="130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ADS Cancellation Fee</w:t>
      </w:r>
      <w:r>
        <w:rPr>
          <w:rFonts w:ascii="Times New Roman" w:cs="Times New Roman" w:eastAsia="Times New Roman" w:hAnsi="Times New Roman"/>
          <w:sz w:val="18"/>
          <w:szCs w:val="18"/>
          <w:color w:val="auto"/>
        </w:rPr>
        <w:t>: by any person for whom ADSs are being cancelled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175" w:lineRule="exact"/>
        <w:rPr>
          <w:rFonts w:ascii="Times New Roman" w:cs="Times New Roman" w:eastAsia="Times New Roman" w:hAnsi="Times New Roman"/>
          <w:sz w:val="18"/>
          <w:szCs w:val="18"/>
          <w:b w:val="1"/>
          <w:bCs w:val="1"/>
          <w:color w:val="auto"/>
        </w:rPr>
      </w:pPr>
    </w:p>
    <w:p>
      <w:pPr>
        <w:ind w:left="1304" w:hanging="656"/>
        <w:spacing w:after="0" w:line="282" w:lineRule="auto"/>
        <w:tabs>
          <w:tab w:leader="none" w:pos="130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cash dividends or other cash 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 entitlements);</w:t>
      </w:r>
    </w:p>
    <w:p>
      <w:pPr>
        <w:spacing w:after="0" w:line="161" w:lineRule="exact"/>
        <w:rPr>
          <w:rFonts w:ascii="Times New Roman" w:cs="Times New Roman" w:eastAsia="Times New Roman" w:hAnsi="Times New Roman"/>
          <w:sz w:val="18"/>
          <w:szCs w:val="18"/>
          <w:b w:val="1"/>
          <w:bCs w:val="1"/>
          <w:color w:val="auto"/>
        </w:rPr>
      </w:pPr>
    </w:p>
    <w:p>
      <w:pPr>
        <w:jc w:val="both"/>
        <w:ind w:left="1304" w:hanging="656"/>
        <w:spacing w:after="0" w:line="266" w:lineRule="auto"/>
        <w:tabs>
          <w:tab w:leader="none" w:pos="130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Stock Distribution /Rights Exercise Fee</w:t>
      </w:r>
      <w:r>
        <w:rPr>
          <w:rFonts w:ascii="Times New Roman" w:cs="Times New Roman" w:eastAsia="Times New Roman" w:hAnsi="Times New Roman"/>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75" w:lineRule="exact"/>
        <w:rPr>
          <w:rFonts w:ascii="Times New Roman" w:cs="Times New Roman" w:eastAsia="Times New Roman" w:hAnsi="Times New Roman"/>
          <w:sz w:val="18"/>
          <w:szCs w:val="18"/>
          <w:b w:val="1"/>
          <w:bCs w:val="1"/>
          <w:color w:val="auto"/>
        </w:rPr>
      </w:pPr>
    </w:p>
    <w:p>
      <w:pPr>
        <w:ind w:left="1304" w:hanging="656"/>
        <w:spacing w:after="0" w:line="282" w:lineRule="auto"/>
        <w:tabs>
          <w:tab w:leader="none" w:pos="130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securities other than ADSs or 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 shares);</w:t>
      </w:r>
    </w:p>
    <w:p>
      <w:pPr>
        <w:spacing w:after="0" w:line="161" w:lineRule="exact"/>
        <w:rPr>
          <w:rFonts w:ascii="Times New Roman" w:cs="Times New Roman" w:eastAsia="Times New Roman" w:hAnsi="Times New Roman"/>
          <w:sz w:val="18"/>
          <w:szCs w:val="18"/>
          <w:b w:val="1"/>
          <w:bCs w:val="1"/>
          <w:color w:val="auto"/>
        </w:rPr>
      </w:pPr>
    </w:p>
    <w:p>
      <w:pPr>
        <w:ind w:left="1304" w:hanging="656"/>
        <w:spacing w:after="0" w:line="282" w:lineRule="auto"/>
        <w:tabs>
          <w:tab w:leader="none" w:pos="130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Depositary Services Fee</w:t>
      </w:r>
      <w:r>
        <w:rPr>
          <w:rFonts w:ascii="Times New Roman" w:cs="Times New Roman" w:eastAsia="Times New Roman" w:hAnsi="Times New Roman"/>
          <w:sz w:val="18"/>
          <w:szCs w:val="18"/>
          <w:color w:val="auto"/>
        </w:rPr>
        <w:t>: by any Holder of ADS(s), a fee not in excess of U.S. $5.00 per 100 ADSs (or fraction thereof) held on the applicable record date(s) established by the Depositary;</w:t>
      </w:r>
    </w:p>
    <w:p>
      <w:pPr>
        <w:spacing w:after="0" w:line="161" w:lineRule="exact"/>
        <w:rPr>
          <w:rFonts w:ascii="Times New Roman" w:cs="Times New Roman" w:eastAsia="Times New Roman" w:hAnsi="Times New Roman"/>
          <w:sz w:val="18"/>
          <w:szCs w:val="18"/>
          <w:b w:val="1"/>
          <w:bCs w:val="1"/>
          <w:color w:val="auto"/>
        </w:rPr>
      </w:pPr>
    </w:p>
    <w:p>
      <w:pPr>
        <w:jc w:val="both"/>
        <w:ind w:left="1304" w:hanging="656"/>
        <w:spacing w:after="0" w:line="266" w:lineRule="auto"/>
        <w:tabs>
          <w:tab w:leader="none" w:pos="130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Registration of ADS Transfer Fee</w:t>
      </w:r>
      <w:r>
        <w:rPr>
          <w:rFonts w:ascii="Times New Roman" w:cs="Times New Roman" w:eastAsia="Times New Roman" w:hAnsi="Times New Roman"/>
          <w:sz w:val="18"/>
          <w:szCs w:val="18"/>
          <w:color w:val="auto"/>
        </w:rPr>
        <w:t xml:space="preserve">: by any Holder of ADS(s) being transferred or by any person to whom ADSs are transferred, a fee not in excess of U.S. $5.00 per 100 ADSs (or fraction thereof) transferred (e.g., upon a registration of the transfer of registered ownership of ADSs, upon a transfer of ADSs into DTC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 and</w:t>
      </w:r>
    </w:p>
    <w:p>
      <w:pPr>
        <w:spacing w:after="0" w:line="175" w:lineRule="exact"/>
        <w:rPr>
          <w:rFonts w:ascii="Times New Roman" w:cs="Times New Roman" w:eastAsia="Times New Roman" w:hAnsi="Times New Roman"/>
          <w:sz w:val="18"/>
          <w:szCs w:val="18"/>
          <w:b w:val="1"/>
          <w:bCs w:val="1"/>
          <w:color w:val="auto"/>
        </w:rPr>
      </w:pPr>
    </w:p>
    <w:p>
      <w:pPr>
        <w:jc w:val="both"/>
        <w:ind w:left="1304" w:hanging="656"/>
        <w:spacing w:after="0" w:line="261" w:lineRule="auto"/>
        <w:tabs>
          <w:tab w:leader="none" w:pos="1304"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ADS Conversion Fee</w:t>
      </w:r>
      <w:r>
        <w:rPr>
          <w:rFonts w:ascii="Times New Roman" w:cs="Times New Roman" w:eastAsia="Times New Roman" w:hAnsi="Times New Roman"/>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conversion of Partial Entitlement ADSs for Full Entitlement ADSs, or upon conversion of Restricted ADSs into freely transferrable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92" w:right="339" w:bottom="1440" w:gutter="0" w:footer="0" w:header="0"/>
        </w:sectPr>
      </w:pPr>
    </w:p>
    <w:bookmarkStart w:id="29" w:name="page30"/>
    <w:bookmarkEnd w:id="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76" w:lineRule="exact"/>
        <w:rPr>
          <w:sz w:val="20"/>
          <w:szCs w:val="20"/>
          <w:color w:val="auto"/>
        </w:rPr>
      </w:pPr>
    </w:p>
    <w:p>
      <w:pPr>
        <w:ind w:left="1960" w:hanging="656"/>
        <w:spacing w:after="0"/>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ADS fees and charges so payable may be deducted from distributions or must be remitted to the Depositary, or its designee, and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72" w:lineRule="exact"/>
        <w:rPr>
          <w:sz w:val="20"/>
          <w:szCs w:val="20"/>
          <w:color w:val="auto"/>
        </w:rPr>
      </w:pPr>
    </w:p>
    <w:p>
      <w:pPr>
        <w:jc w:val="both"/>
        <w:ind w:firstLine="656"/>
        <w:spacing w:after="0" w:line="254" w:lineRule="auto"/>
        <w:tabs>
          <w:tab w:leader="none" w:pos="106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 to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in the Deposit Agreement and in this ADR, it is a condition of this ADR, and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6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Validity of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this ADR (and the ADSs represented hereby) shall not be entitled to any benefits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1092"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Available Information; Reports; Inspection of Transfer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 in the past been subject to the periodic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requirements of the Exchange Act, and has filed certain reports with, and submitted certain information to, the Commission, which reports can be retrieved from the Commission’s website at www.sec.gov, and can be inspected and copied at the public reference facilities maintained by the Commission located at 100 F Street, N.E., Washington D.C. 20549. The Company has filed a Form 15F with the Commission to terminate the registration of its securities under the Exchange Act and its reporting obligations under Sections 13(a) and 15(d) of the Exchange Act. Upon filing of Form 15F, the Company’s obligation under the Exchange Act was suspended. Upon effectiveness of Form 15F, the Company’s duty to file or submit reports under Section 13(a) and 15(d) of the Exchange Act will terminate. Pursuant to Rule 12g3-2(b)(1) promulgated under the Exchange Act, the Company is exempt from the reporting obligations of the Exchange Act. In order to satisfy the conditions of Rule 12g3-2(b) and to maintain the exemption from registration, the Company published in English the information contemplated in Rule 12g3-2(b)(2)(i) under the Exchange Act on its internet website or through an electronic information delivery system generally available to the public in the Company’s primary trading market. The Company has specified in Form 15F, https://puretechhealth.com, as the internet website or the electronic information delivery system on which it will publish such information. The information so published by the Company cannot be retrieved from the Commission’s internet website, and cannot be inspected or copied at the public reference facilities maintained by the Commission. If the Form 15F does not become effective, the Company will again be subject to the periodic reporting requirements of the Exchange Act and will be required to file with the Commission, and submit to the Commission, certain reports that can be retrieved from the Commission’s internet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 can be inspected and copied at the public facilities maintained by the Commission.</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Depositary shall make available for inspection by Holders at its Principal Office, as promptly as practicable after receipt thereof,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Deposit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 (a) of the Deposit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w:t>
            </w:r>
          </w:p>
        </w:tc>
        <w:tc>
          <w:tcPr>
            <w:tcW w:w="29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CITIBANK, N.A.</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CITIBANK, N.A.</w:t>
            </w: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Agent and Registrar</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as Depositary</w:t>
            </w:r>
          </w:p>
        </w:tc>
      </w:tr>
      <w:tr>
        <w:trPr>
          <w:trHeight w:val="43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w:t>
            </w:r>
          </w:p>
        </w:tc>
      </w:tr>
      <w:tr>
        <w:trPr>
          <w:trHeight w:val="228"/>
        </w:trPr>
        <w:tc>
          <w:tcPr>
            <w:tcW w:w="460" w:type="dxa"/>
            <w:vAlign w:val="bottom"/>
          </w:tcPr>
          <w:p>
            <w:pPr>
              <w:spacing w:after="0"/>
              <w:rPr>
                <w:sz w:val="19"/>
                <w:szCs w:val="19"/>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2940" w:type="dxa"/>
            <w:vAlign w:val="bottom"/>
          </w:tcPr>
          <w:p>
            <w:pPr>
              <w:spacing w:after="0"/>
              <w:rPr>
                <w:sz w:val="19"/>
                <w:szCs w:val="19"/>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7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address of the Principal Office of the Depositary is 388 Greenwich Street, New York, New York 10013, U.S.A.</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DEPOSIT AGREEMENT</w:t>
      </w:r>
    </w:p>
    <w:p>
      <w:pPr>
        <w:spacing w:after="0" w:line="221" w:lineRule="exact"/>
        <w:rPr>
          <w:sz w:val="20"/>
          <w:szCs w:val="20"/>
          <w:color w:val="auto"/>
        </w:rPr>
      </w:pPr>
    </w:p>
    <w:p>
      <w:pPr>
        <w:ind w:left="1040" w:hanging="384"/>
        <w:spacing w:after="0"/>
        <w:tabs>
          <w:tab w:leader="none" w:pos="10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 and Distributions in Cash, Shares, etc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52" w:lineRule="auto"/>
        <w:tabs>
          <w:tab w:leader="none" w:pos="8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Cash Distributions</w:t>
      </w:r>
      <w:r>
        <w:rPr>
          <w:rFonts w:ascii="Times New Roman" w:cs="Times New Roman" w:eastAsia="Times New Roman" w:hAnsi="Times New Roman"/>
          <w:sz w:val="18"/>
          <w:szCs w:val="18"/>
          <w:color w:val="auto"/>
        </w:rPr>
        <w:t>: Upon the timely receipt by the Depositary of a notice from the Company that it intends to make a distribution of a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dividend or other cash distribution, the Depositary shall establish the ADS Record Date upon the terms described in Section 4.9 of the Deposit Agreement. Upon receipt of confirmation of the receipt of (x) any cash dividend or other cash distribution on any Deposited Securities, or (y) proceeds from the sale of any Deposited Property held in respect of the ADSs under the terms of the Deposit Agreement, the Depositary will (i) if any amounts are received in a Foreign Currency,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described in the Fee Schedule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(b) applicable taxes required to be withheld as a result of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Section 4.1 of the Deposit Agreement,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both"/>
        <w:ind w:firstLine="656"/>
        <w:spacing w:after="0" w:line="254" w:lineRule="auto"/>
        <w:tabs>
          <w:tab w:leader="none" w:pos="9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 Distributions</w:t>
      </w:r>
      <w:r>
        <w:rPr>
          <w:rFonts w:ascii="Times New Roman" w:cs="Times New Roman" w:eastAsia="Times New Roman" w:hAnsi="Times New Roman"/>
          <w:sz w:val="18"/>
          <w:szCs w:val="18"/>
          <w:color w:val="auto"/>
        </w:rPr>
        <w:t>: Upon the timely receipt by the Depositary of a notice from the Company that it intends to make a distribution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required to be withheld),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after consultation with the Company to the extent reasonably practicable,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w:t>
      </w:r>
    </w:p>
    <w:p>
      <w:pPr>
        <w:spacing w:after="0" w:line="5" w:lineRule="exact"/>
        <w:rPr>
          <w:sz w:val="20"/>
          <w:szCs w:val="20"/>
          <w:color w:val="auto"/>
        </w:rPr>
      </w:pPr>
    </w:p>
    <w:p>
      <w:pPr>
        <w:jc w:val="both"/>
        <w:ind w:firstLine="8"/>
        <w:spacing w:after="0" w:line="252" w:lineRule="auto"/>
        <w:tabs>
          <w:tab w:leader="none" w:pos="2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taxes required to be withheld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Section 4.2 of the Deposit Agreement,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jc w:val="both"/>
        <w:ind w:firstLine="656"/>
        <w:spacing w:after="0" w:line="252" w:lineRule="auto"/>
        <w:tabs>
          <w:tab w:leader="none" w:pos="8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Elective Distributions in Cash or Shares</w:t>
      </w:r>
      <w:r>
        <w:rPr>
          <w:rFonts w:ascii="Times New Roman" w:cs="Times New Roman" w:eastAsia="Times New Roman" w:hAnsi="Times New Roman"/>
          <w:sz w:val="18"/>
          <w:szCs w:val="18"/>
          <w:color w:val="auto"/>
        </w:rPr>
        <w:t>: Upon the timely receipt of a notice indicating that the Company wishes an elective distribution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or Shares to be made available to Holders of ADSs upon the terms described in the Deposit Agreement,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satisfied, the Depositary shall, subject to the terms and conditions of the Deposit Agreement, establish the ADS Record Date according to paragraph (16) and Section 4.9 of the Deposit Agreement and establish procedures to enable the Holder hereof to elect the receipt of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England and Wales in respect of the Shares for which no election is made, either (x) cash upon the terms described in Section 4.1 of the Deposit Agreement or (y) additional ADSs representing such additional Shares, upon the terms described in Section 4.2 of the Deposit Agreement. Nothing herein or in the Deposit Agreement shall obligate the Depositary to make available to the Holder hereof a method to receive the elective distribution in Shares (rather than ADSs). There can be no assurance that the Holder hereof or Holders generally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Section 4.3 of the Deposit Agreement,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186" w:lineRule="exact"/>
        <w:rPr>
          <w:rFonts w:ascii="Times New Roman" w:cs="Times New Roman" w:eastAsia="Times New Roman" w:hAnsi="Times New Roman"/>
          <w:sz w:val="18"/>
          <w:szCs w:val="18"/>
          <w:color w:val="auto"/>
        </w:rPr>
      </w:pPr>
    </w:p>
    <w:p>
      <w:pPr>
        <w:jc w:val="both"/>
        <w:ind w:firstLine="656"/>
        <w:spacing w:after="0" w:line="252" w:lineRule="auto"/>
        <w:tabs>
          <w:tab w:leader="none" w:pos="9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 of Rights to Purchase Additional ADSs</w:t>
      </w:r>
      <w:r>
        <w:rPr>
          <w:rFonts w:ascii="Times New Roman" w:cs="Times New Roman" w:eastAsia="Times New Roman" w:hAnsi="Times New Roman"/>
          <w:sz w:val="18"/>
          <w:szCs w:val="18"/>
          <w:color w:val="auto"/>
        </w:rPr>
        <w:t>: Upon the timely receipt by the Depositary of a notice indicating that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proceed with the sale of the rights as described below.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reasonably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jc w:val="both"/>
        <w:ind w:firstLine="656"/>
        <w:spacing w:after="0" w:line="254" w:lineRule="auto"/>
        <w:tabs>
          <w:tab w:leader="none" w:pos="8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Distributions other than Cash, Shares or Rights to Purchase Shares</w:t>
      </w:r>
      <w:r>
        <w:rPr>
          <w:rFonts w:ascii="Times New Roman" w:cs="Times New Roman" w:eastAsia="Times New Roman" w:hAnsi="Times New Roman"/>
          <w:sz w:val="18"/>
          <w:szCs w:val="18"/>
          <w:color w:val="auto"/>
        </w:rPr>
        <w:t>: Upon receipt of a notice indicating that the Company wishes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contemplated in Section 5.7 of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hereof and of Section 4.1 of the Deposit Agreement. If the Depositary is unable to sell such property, the Depositary may dispose of such property for the account of the Holders in any way it deems reasonably practicable under the circumstances.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72" w:lineRule="exact"/>
        <w:rPr>
          <w:sz w:val="20"/>
          <w:szCs w:val="20"/>
          <w:color w:val="auto"/>
        </w:rPr>
      </w:pPr>
    </w:p>
    <w:p>
      <w:pPr>
        <w:jc w:val="both"/>
        <w:ind w:firstLine="656"/>
        <w:spacing w:after="0" w:line="252" w:lineRule="auto"/>
        <w:tabs>
          <w:tab w:leader="none" w:pos="106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timely receipt of notice from the Company that it intends to exercise its right of redemption in respect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Deposited Securities, and satisfactory documentation, and, after consultation between the Depositary and the Custodian, upon determining that such proposed redemption is practicable, the Depositary shall (to the extent practicable) provide to each Holder a notice setting forth the Company’s intention to exercise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after consultation with the Company.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applicable taxes) multiplied by the number of Deposited Securities represented by each ADS redeemed. Notwithstanding anything contained in the Deposit Agreement to the contrary, in the event the Company fails to give the Depositary timely notice of the proposed redemption provided for in Section 4.7 of the Deposit Agreement,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jc w:val="both"/>
        <w:ind w:firstLine="656"/>
        <w:spacing w:after="0" w:line="253" w:lineRule="auto"/>
        <w:tabs>
          <w:tab w:leader="none" w:pos="1078"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(a)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after consultation with the Company to the extent reasonably practicable, shall fix the record date (the “</w:t>
      </w:r>
      <w:r>
        <w:rPr>
          <w:rFonts w:ascii="Times New Roman" w:cs="Times New Roman" w:eastAsia="Times New Roman" w:hAnsi="Times New Roman"/>
          <w:sz w:val="18"/>
          <w:szCs w:val="18"/>
          <w:u w:val="single" w:color="auto"/>
          <w:color w:val="auto"/>
        </w:rPr>
        <w:t>ADS 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the terms and conditions of this ADR and Sections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51"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as soon as practicable after receipt thereof to Holders as of the ADS Record Date: (a) such notice of meeting or solicitation of consent or proxy,</w:t>
      </w:r>
    </w:p>
    <w:p>
      <w:pPr>
        <w:spacing w:after="0" w:line="3" w:lineRule="exact"/>
        <w:rPr>
          <w:rFonts w:ascii="Times New Roman" w:cs="Times New Roman" w:eastAsia="Times New Roman" w:hAnsi="Times New Roman"/>
          <w:sz w:val="18"/>
          <w:szCs w:val="18"/>
          <w:b w:val="1"/>
          <w:bCs w:val="1"/>
          <w:color w:val="auto"/>
        </w:rPr>
      </w:pPr>
    </w:p>
    <w:p>
      <w:pPr>
        <w:jc w:val="both"/>
        <w:ind w:firstLine="8"/>
        <w:spacing w:after="0" w:line="252" w:lineRule="auto"/>
        <w:tabs>
          <w:tab w:leader="none" w:pos="2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and timing (such timing to be determined after consultation with the Company) in which such voting instructions may be given to the Depositary or in which voting instructions may be deemed to have been given in accordance with Section 4.10 of the Deposit Agreement if no instructions are received prior to the deadline set for such purposes to the Depositary to give a discretionary proxy to a person designated by the Company.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with the Company’s prior written consent, the Depositary may, to the extent not prohibited by law or regulations, or by the requirements of the stock exchange on which the ADSs may be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Depositary has been advised by the Company that the Articles of Association (as in effect on the date hereof), provide that voting at any meeting of shareholders is by show of hands unless a poll is demanded or the Company elects to proceed with the voting by a poll. The Depositary will not join in demanding a poll, whether or not requested to do so by Holders of ADSs. Under the Articles of Association (as in effect on the date hereof) a poll may be demanded by (i) the chairman of the meeting; (ii) by at least two members of the Company present in person (or by proxy), in each case, for the time being entitled to vote at the meeting; (iii) by any member or members of the Company present in person (or by proxy), in each case, for the time being entitled to vote at the meeting representing at least one-tenth of the total voting rights of all the members having the right to vote at the meeting; or (iv) by any member or members of the Company present in person (or by proxy), in each case, holding shares conferring a right to vote at the meeting, being shares on which an aggregate sum has been paid up equal to at least one-tenth of the total sum paid up on all the shares conferring that right.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any applicable law, the provisions of the Deposit Agreement, the Articles of Association of the Company and the provisions of the Deposited Securities, to vote, or cause the Custodian to vote, the Deposited Securities (in person or by proxy) represented by such Holder’s ADSs as follows: (i) in the event voting takes place at a shareholders’ meeting by a show of hands, the Depositary will instruct the Custodian to vote all Deposited Securities in accordance with the voting instructions received from a majority of Holders of ADSs who provided voting instructions, and</w:t>
      </w:r>
    </w:p>
    <w:p>
      <w:pPr>
        <w:spacing w:after="0" w:line="5" w:lineRule="exact"/>
        <w:rPr>
          <w:sz w:val="20"/>
          <w:szCs w:val="20"/>
          <w:color w:val="auto"/>
        </w:rPr>
      </w:pPr>
    </w:p>
    <w:p>
      <w:pPr>
        <w:jc w:val="both"/>
        <w:ind w:firstLine="8"/>
        <w:spacing w:after="0" w:line="252" w:lineRule="auto"/>
        <w:tabs>
          <w:tab w:leader="none" w:pos="2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voting takes place at a shareholders’ meeting by poll, the Depositary will instruct the Custodian to vote the Deposited Securities in accordance with the voting instructions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requested to be taken if so reasonably requested by the Depositary.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jc w:val="both"/>
        <w:ind w:firstLine="656"/>
        <w:spacing w:after="0" w:line="253" w:lineRule="auto"/>
        <w:tabs>
          <w:tab w:leader="none" w:pos="1092"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Changes Affecting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change in nominal or par value, split-up, cancellation, consolidation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w:t>
      </w:r>
    </w:p>
    <w:p>
      <w:pPr>
        <w:jc w:val="both"/>
        <w:ind w:firstLine="8"/>
        <w:spacing w:after="0" w:line="251" w:lineRule="auto"/>
        <w:tabs>
          <w:tab w:leader="none" w:pos="2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applicable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jc w:val="both"/>
        <w:ind w:firstLine="656"/>
        <w:spacing w:after="0" w:line="251" w:lineRule="auto"/>
        <w:tabs>
          <w:tab w:leader="none" w:pos="1038"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 Company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obligated to do or perform any act which is inconsistent with the provisions of the Deposit Agreement or incur any liability (to the extent not limited by paragraph (25) hereof and Section 7.8 (b)) (i) of the Deposit Agreement)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fire, flood, earthquake, tornado, hurricane, tsunami, explosion, or other natural disaster, nationalization, expropriation, currency restrictions, work stoppage, strikes, civil unrest, acts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w:t>
      </w:r>
    </w:p>
    <w:p>
      <w:pPr>
        <w:spacing w:after="0" w:line="13"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3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reasonably believed by it to be genuine and to have been signed or presented by the proper party or parties.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jc w:val="both"/>
        <w:ind w:firstLine="656"/>
        <w:spacing w:after="0" w:line="255" w:lineRule="auto"/>
        <w:tabs>
          <w:tab w:leader="none" w:pos="107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reasonable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 for the Company.</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jc w:val="both"/>
        <w:ind w:firstLine="656"/>
        <w:spacing w:after="0" w:line="252" w:lineRule="auto"/>
        <w:tabs>
          <w:tab w:leader="none" w:pos="1119"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191"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110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paragraph 23, and Section 6.1 of the Deposit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jc w:val="both"/>
        <w:ind w:firstLine="656"/>
        <w:spacing w:after="0" w:line="252" w:lineRule="auto"/>
        <w:tabs>
          <w:tab w:leader="none" w:pos="1065"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 distributing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w:t>
      </w:r>
    </w:p>
    <w:p>
      <w:pPr>
        <w:spacing w:after="0" w:line="7" w:lineRule="exact"/>
        <w:rPr>
          <w:rFonts w:ascii="Times New Roman" w:cs="Times New Roman" w:eastAsia="Times New Roman" w:hAnsi="Times New Roman"/>
          <w:sz w:val="18"/>
          <w:szCs w:val="18"/>
          <w:b w:val="1"/>
          <w:bCs w:val="1"/>
          <w:color w:val="auto"/>
        </w:rPr>
      </w:pPr>
    </w:p>
    <w:p>
      <w:pPr>
        <w:jc w:val="both"/>
        <w:ind w:firstLine="8"/>
        <w:spacing w:after="0" w:line="250" w:lineRule="auto"/>
        <w:tabs>
          <w:tab w:leader="none" w:pos="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2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jc w:val="both"/>
        <w:ind w:firstLine="656"/>
        <w:spacing w:after="0" w:line="268" w:lineRule="auto"/>
        <w:tabs>
          <w:tab w:leader="none" w:pos="1092"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and No Disclaimer under, U.S.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Notwithstanding any provisions in this ADR or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75" w:lineRule="exact"/>
        <w:rPr>
          <w:sz w:val="20"/>
          <w:szCs w:val="20"/>
          <w:color w:val="auto"/>
        </w:rPr>
      </w:pPr>
    </w:p>
    <w:p>
      <w:pPr>
        <w:jc w:val="both"/>
        <w:ind w:firstLine="656"/>
        <w:spacing w:after="0" w:line="266" w:lineRule="auto"/>
        <w:tabs>
          <w:tab w:leader="none" w:pos="120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jc w:val="both"/>
        <w:ind w:firstLine="656"/>
        <w:spacing w:after="0" w:line="253" w:lineRule="auto"/>
        <w:tabs>
          <w:tab w:leader="none" w:pos="1078"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Third Party Beneficiaries/Acknowledgements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is for the exclusive benefit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4" w:lineRule="exact"/>
        <w:rPr>
          <w:rFonts w:ascii="Times New Roman" w:cs="Times New Roman" w:eastAsia="Times New Roman" w:hAnsi="Times New Roman"/>
          <w:sz w:val="18"/>
          <w:szCs w:val="18"/>
          <w:b w:val="1"/>
          <w:bCs w:val="1"/>
          <w:color w:val="auto"/>
        </w:rPr>
      </w:pPr>
    </w:p>
    <w:p>
      <w:pPr>
        <w:jc w:val="both"/>
        <w:ind w:firstLine="8"/>
        <w:spacing w:after="0" w:line="251" w:lineRule="auto"/>
        <w:tabs>
          <w:tab w:leader="none" w:pos="31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United States, England,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6" w:name="page47"/>
    <w:bookmarkEnd w:id="46"/>
    <w:p>
      <w:pPr>
        <w:jc w:val="both"/>
        <w:ind w:firstLine="656"/>
        <w:spacing w:after="0" w:line="257" w:lineRule="auto"/>
        <w:tabs>
          <w:tab w:leader="none" w:pos="1051"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 Waiver of Jury Trial</w:t>
      </w:r>
      <w:r>
        <w:rPr>
          <w:rFonts w:ascii="Times New Roman" w:cs="Times New Roman" w:eastAsia="Times New Roman" w:hAnsi="Times New Roman"/>
          <w:sz w:val="18"/>
          <w:szCs w:val="18"/>
          <w:color w:val="auto"/>
        </w:rPr>
        <w:t>. The Deposit Agreement, the ADRs and the ADSs shall be interpreted in accordance with,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hereunder and thereunder and provisions hereof and thereof shall be governed by, the laws of the State of New York applicable to contracts made and to be wholly performed in that State. Notwithstanding anything contained in the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is _______________________ and whose address including postal zip code is ________________, the within ADR and all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hereby irrevocably constituting and appointing ________________________ attorney-in-fact to transfer said ADR on the books of the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Depositary with full power of substitution in the premises.</w:t>
            </w:r>
          </w:p>
        </w:tc>
        <w:tc>
          <w:tcPr>
            <w:tcW w:w="18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191"/>
        </w:trPr>
        <w:tc>
          <w:tcPr>
            <w:tcW w:w="54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57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5480" w:type="dxa"/>
            <w:vAlign w:val="bottom"/>
          </w:tcPr>
          <w:p>
            <w:pPr>
              <w:spacing w:after="0"/>
              <w:rPr>
                <w:sz w:val="24"/>
                <w:szCs w:val="24"/>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w w:val="99"/>
              </w:rPr>
              <w:t>NOTICE: The signature of the Holder to this assignment must</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correspond with the name as written upon the face of the</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within instrument in every particular, without alteration or</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enlargement or any change whatsoever.</w:t>
            </w:r>
          </w:p>
        </w:tc>
        <w:tc>
          <w:tcPr>
            <w:tcW w:w="0" w:type="dxa"/>
            <w:vAlign w:val="bottom"/>
          </w:tcPr>
          <w:p>
            <w:pPr>
              <w:spacing w:after="0"/>
              <w:rPr>
                <w:sz w:val="1"/>
                <w:szCs w:val="1"/>
                <w:color w:val="auto"/>
              </w:rPr>
            </w:pPr>
          </w:p>
        </w:tc>
      </w:tr>
      <w:tr>
        <w:trPr>
          <w:trHeight w:val="414"/>
        </w:trPr>
        <w:tc>
          <w:tcPr>
            <w:tcW w:w="5480" w:type="dxa"/>
            <w:vAlign w:val="bottom"/>
          </w:tcPr>
          <w:p>
            <w:pPr>
              <w:spacing w:after="0"/>
              <w:rPr>
                <w:sz w:val="24"/>
                <w:szCs w:val="24"/>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If the endorsement be executed by an attorney, executor,</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administrator, trustee or guardian, the person executing the</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endorsement must give his/her full title in such capacity and</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proper evidence of authority to act in such capacity, if not on</w:t>
            </w:r>
          </w:p>
        </w:tc>
        <w:tc>
          <w:tcPr>
            <w:tcW w:w="0" w:type="dxa"/>
            <w:vAlign w:val="bottom"/>
          </w:tcPr>
          <w:p>
            <w:pPr>
              <w:spacing w:after="0"/>
              <w:rPr>
                <w:sz w:val="1"/>
                <w:szCs w:val="1"/>
                <w:color w:val="auto"/>
              </w:rPr>
            </w:pPr>
          </w:p>
        </w:tc>
      </w:tr>
      <w:tr>
        <w:trPr>
          <w:trHeight w:val="234"/>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file with the Depositary, must be forwarded with this ADR.</w:t>
            </w:r>
          </w:p>
        </w:tc>
        <w:tc>
          <w:tcPr>
            <w:tcW w:w="0" w:type="dxa"/>
            <w:vAlign w:val="bottom"/>
          </w:tcPr>
          <w:p>
            <w:pPr>
              <w:spacing w:after="0"/>
              <w:rPr>
                <w:sz w:val="1"/>
                <w:szCs w:val="1"/>
                <w:color w:val="auto"/>
              </w:rPr>
            </w:pPr>
          </w:p>
        </w:tc>
      </w:tr>
      <w:tr>
        <w:trPr>
          <w:trHeight w:val="198"/>
        </w:trPr>
        <w:tc>
          <w:tcPr>
            <w:tcW w:w="54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576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8"/>
                <w:szCs w:val="18"/>
                <w:color w:val="auto"/>
              </w:rPr>
              <w:t>All endorsements or assignments of ADRs must be</w:t>
            </w:r>
          </w:p>
        </w:tc>
        <w:tc>
          <w:tcPr>
            <w:tcW w:w="0" w:type="dxa"/>
            <w:vAlign w:val="bottom"/>
          </w:tcPr>
          <w:p>
            <w:pPr>
              <w:spacing w:after="0"/>
              <w:rPr>
                <w:sz w:val="1"/>
                <w:szCs w:val="1"/>
                <w:color w:val="auto"/>
              </w:rPr>
            </w:pPr>
          </w:p>
        </w:tc>
      </w:tr>
      <w:tr>
        <w:trPr>
          <w:trHeight w:val="198"/>
        </w:trPr>
        <w:tc>
          <w:tcPr>
            <w:tcW w:w="5480" w:type="dxa"/>
            <w:vAlign w:val="bottom"/>
          </w:tcPr>
          <w:p>
            <w:pPr>
              <w:spacing w:after="0"/>
              <w:rPr>
                <w:sz w:val="17"/>
                <w:szCs w:val="17"/>
                <w:color w:val="auto"/>
              </w:rPr>
            </w:pPr>
          </w:p>
        </w:tc>
        <w:tc>
          <w:tcPr>
            <w:tcW w:w="5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guaranteed by a member of a Medallion Signature Program</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approved by the Securities Transfer Association, Inc.</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Legends</w:t>
      </w:r>
    </w:p>
    <w:p>
      <w:pPr>
        <w:spacing w:after="0" w:line="2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NOTICE TO 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NOTICE OF DEREGISTRATION AND AMENDMENT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all Holders of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representing the Deposited Securities of the Company:</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6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Company:</w:t>
            </w:r>
          </w:p>
        </w:tc>
        <w:tc>
          <w:tcPr>
            <w:tcW w:w="5600" w:type="dxa"/>
            <w:vAlign w:val="bottom"/>
            <w:tcBorders>
              <w:top w:val="single" w:sz="8" w:color="auto"/>
              <w:right w:val="single" w:sz="8" w:color="auto"/>
            </w:tcBorders>
            <w:gridSpan w:val="11"/>
          </w:tcPr>
          <w:p>
            <w:pPr>
              <w:ind w:left="40"/>
              <w:spacing w:after="0"/>
              <w:rPr>
                <w:sz w:val="20"/>
                <w:szCs w:val="20"/>
                <w:color w:val="auto"/>
              </w:rPr>
            </w:pPr>
            <w:r>
              <w:rPr>
                <w:rFonts w:ascii="Times New Roman" w:cs="Times New Roman" w:eastAsia="Times New Roman" w:hAnsi="Times New Roman"/>
                <w:sz w:val="18"/>
                <w:szCs w:val="18"/>
                <w:color w:val="auto"/>
              </w:rPr>
              <w:t>PureTech Health plc, a public limited company incorporated under the laws</w:t>
            </w:r>
          </w:p>
        </w:tc>
      </w:tr>
      <w:tr>
        <w:trPr>
          <w:trHeight w:val="194"/>
        </w:trPr>
        <w:tc>
          <w:tcPr>
            <w:tcW w:w="5640" w:type="dxa"/>
            <w:vAlign w:val="bottom"/>
            <w:tcBorders>
              <w:left w:val="single" w:sz="8" w:color="auto"/>
              <w:right w:val="single" w:sz="8" w:color="auto"/>
            </w:tcBorders>
          </w:tcPr>
          <w:p>
            <w:pPr>
              <w:spacing w:after="0"/>
              <w:rPr>
                <w:sz w:val="16"/>
                <w:szCs w:val="16"/>
                <w:color w:val="auto"/>
              </w:rPr>
            </w:pPr>
          </w:p>
        </w:tc>
        <w:tc>
          <w:tcPr>
            <w:tcW w:w="5600" w:type="dxa"/>
            <w:vAlign w:val="bottom"/>
            <w:tcBorders>
              <w:right w:val="single" w:sz="8" w:color="auto"/>
            </w:tcBorders>
            <w:gridSpan w:val="11"/>
          </w:tcPr>
          <w:p>
            <w:pPr>
              <w:ind w:left="40"/>
              <w:spacing w:after="0" w:line="194" w:lineRule="exact"/>
              <w:rPr>
                <w:sz w:val="20"/>
                <w:szCs w:val="20"/>
                <w:color w:val="auto"/>
              </w:rPr>
            </w:pPr>
            <w:r>
              <w:rPr>
                <w:rFonts w:ascii="Times New Roman" w:cs="Times New Roman" w:eastAsia="Times New Roman" w:hAnsi="Times New Roman"/>
                <w:sz w:val="18"/>
                <w:szCs w:val="18"/>
                <w:color w:val="auto"/>
              </w:rPr>
              <w:t>of England and Wales (the “Company”).</w:t>
            </w:r>
          </w:p>
        </w:tc>
      </w:tr>
      <w:tr>
        <w:trPr>
          <w:trHeight w:val="61"/>
        </w:trPr>
        <w:tc>
          <w:tcPr>
            <w:tcW w:w="564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00" w:type="dxa"/>
            <w:vAlign w:val="bottom"/>
            <w:tcBorders>
              <w:top w:val="single" w:sz="8" w:color="auto"/>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r>
      <w:tr>
        <w:trPr>
          <w:trHeight w:val="250"/>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Depositary:</w:t>
            </w:r>
          </w:p>
        </w:tc>
        <w:tc>
          <w:tcPr>
            <w:tcW w:w="5600" w:type="dxa"/>
            <w:vAlign w:val="bottom"/>
            <w:tcBorders>
              <w:right w:val="single" w:sz="8" w:color="auto"/>
            </w:tcBorders>
            <w:gridSpan w:val="11"/>
          </w:tcPr>
          <w:p>
            <w:pPr>
              <w:ind w:left="40"/>
              <w:spacing w:after="0"/>
              <w:rPr>
                <w:sz w:val="20"/>
                <w:szCs w:val="20"/>
                <w:color w:val="auto"/>
              </w:rPr>
            </w:pPr>
            <w:r>
              <w:rPr>
                <w:rFonts w:ascii="Times New Roman" w:cs="Times New Roman" w:eastAsia="Times New Roman" w:hAnsi="Times New Roman"/>
                <w:sz w:val="18"/>
                <w:szCs w:val="18"/>
                <w:color w:val="auto"/>
              </w:rPr>
              <w:t>Citibank, N.A.</w:t>
            </w:r>
          </w:p>
        </w:tc>
      </w:tr>
      <w:tr>
        <w:trPr>
          <w:trHeight w:val="40"/>
        </w:trPr>
        <w:tc>
          <w:tcPr>
            <w:tcW w:w="564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r>
      <w:tr>
        <w:trPr>
          <w:trHeight w:val="250"/>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Custodian:</w:t>
            </w:r>
          </w:p>
        </w:tc>
        <w:tc>
          <w:tcPr>
            <w:tcW w:w="5600" w:type="dxa"/>
            <w:vAlign w:val="bottom"/>
            <w:tcBorders>
              <w:right w:val="single" w:sz="8" w:color="auto"/>
            </w:tcBorders>
            <w:gridSpan w:val="11"/>
          </w:tcPr>
          <w:p>
            <w:pPr>
              <w:ind w:left="40"/>
              <w:spacing w:after="0"/>
              <w:rPr>
                <w:sz w:val="20"/>
                <w:szCs w:val="20"/>
                <w:color w:val="auto"/>
              </w:rPr>
            </w:pPr>
            <w:r>
              <w:rPr>
                <w:rFonts w:ascii="Times New Roman" w:cs="Times New Roman" w:eastAsia="Times New Roman" w:hAnsi="Times New Roman"/>
                <w:sz w:val="18"/>
                <w:szCs w:val="18"/>
                <w:color w:val="auto"/>
              </w:rPr>
              <w:t>Citibank, N.A. (London).</w:t>
            </w:r>
          </w:p>
        </w:tc>
      </w:tr>
      <w:tr>
        <w:trPr>
          <w:trHeight w:val="40"/>
        </w:trPr>
        <w:tc>
          <w:tcPr>
            <w:tcW w:w="564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r>
      <w:tr>
        <w:trPr>
          <w:trHeight w:val="209"/>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Deposited Securities:</w:t>
            </w:r>
          </w:p>
        </w:tc>
        <w:tc>
          <w:tcPr>
            <w:tcW w:w="5600" w:type="dxa"/>
            <w:vAlign w:val="bottom"/>
            <w:tcBorders>
              <w:right w:val="single" w:sz="8" w:color="auto"/>
            </w:tcBorders>
            <w:gridSpan w:val="11"/>
          </w:tcPr>
          <w:p>
            <w:pPr>
              <w:ind w:left="40"/>
              <w:spacing w:after="0"/>
              <w:rPr>
                <w:sz w:val="20"/>
                <w:szCs w:val="20"/>
                <w:color w:val="auto"/>
              </w:rPr>
            </w:pPr>
            <w:r>
              <w:rPr>
                <w:rFonts w:ascii="Times New Roman" w:cs="Times New Roman" w:eastAsia="Times New Roman" w:hAnsi="Times New Roman"/>
                <w:sz w:val="18"/>
                <w:szCs w:val="18"/>
                <w:color w:val="auto"/>
              </w:rPr>
              <w:t>Ordinary shares, £0.01 nominal value per share of the Company (“Shares”).</w:t>
            </w:r>
          </w:p>
        </w:tc>
      </w:tr>
      <w:tr>
        <w:trPr>
          <w:trHeight w:val="61"/>
        </w:trPr>
        <w:tc>
          <w:tcPr>
            <w:tcW w:w="564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480" w:type="dxa"/>
            <w:vAlign w:val="bottom"/>
            <w:tcBorders>
              <w:top w:val="single" w:sz="8" w:color="auto"/>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r>
      <w:tr>
        <w:trPr>
          <w:trHeight w:val="250"/>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ADS CUSIP No.:</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746237106.*</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r>
      <w:tr>
        <w:trPr>
          <w:trHeight w:val="40"/>
        </w:trPr>
        <w:tc>
          <w:tcPr>
            <w:tcW w:w="564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r>
      <w:tr>
        <w:trPr>
          <w:trHeight w:val="250"/>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Shares to ADS Ratio:</w:t>
            </w:r>
          </w:p>
        </w:tc>
        <w:tc>
          <w:tcPr>
            <w:tcW w:w="5600" w:type="dxa"/>
            <w:vAlign w:val="bottom"/>
            <w:tcBorders>
              <w:right w:val="single" w:sz="8" w:color="auto"/>
            </w:tcBorders>
            <w:gridSpan w:val="11"/>
          </w:tcPr>
          <w:p>
            <w:pPr>
              <w:ind w:left="40"/>
              <w:spacing w:after="0"/>
              <w:rPr>
                <w:sz w:val="20"/>
                <w:szCs w:val="20"/>
                <w:color w:val="auto"/>
              </w:rPr>
            </w:pPr>
            <w:r>
              <w:rPr>
                <w:rFonts w:ascii="Times New Roman" w:cs="Times New Roman" w:eastAsia="Times New Roman" w:hAnsi="Times New Roman"/>
                <w:sz w:val="18"/>
                <w:szCs w:val="18"/>
                <w:color w:val="auto"/>
              </w:rPr>
              <w:t>Ten (10) Shares to one (1) ADS.</w:t>
            </w:r>
          </w:p>
        </w:tc>
      </w:tr>
      <w:tr>
        <w:trPr>
          <w:trHeight w:val="41"/>
        </w:trPr>
        <w:tc>
          <w:tcPr>
            <w:tcW w:w="564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r>
      <w:tr>
        <w:trPr>
          <w:trHeight w:val="232"/>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Deposit Agreement:</w:t>
            </w:r>
          </w:p>
        </w:tc>
        <w:tc>
          <w:tcPr>
            <w:tcW w:w="5600" w:type="dxa"/>
            <w:vAlign w:val="bottom"/>
            <w:tcBorders>
              <w:right w:val="single" w:sz="8" w:color="auto"/>
            </w:tcBorders>
            <w:gridSpan w:val="11"/>
          </w:tcPr>
          <w:p>
            <w:pPr>
              <w:ind w:left="40"/>
              <w:spacing w:after="0"/>
              <w:rPr>
                <w:sz w:val="20"/>
                <w:szCs w:val="20"/>
                <w:color w:val="auto"/>
              </w:rPr>
            </w:pPr>
            <w:r>
              <w:rPr>
                <w:rFonts w:ascii="Times New Roman" w:cs="Times New Roman" w:eastAsia="Times New Roman" w:hAnsi="Times New Roman"/>
                <w:sz w:val="18"/>
                <w:szCs w:val="18"/>
                <w:color w:val="auto"/>
              </w:rPr>
              <w:t>Deposit Agreement, dated as of November 11, 2020 (as so amended, the</w:t>
            </w:r>
          </w:p>
        </w:tc>
      </w:tr>
      <w:tr>
        <w:trPr>
          <w:trHeight w:val="194"/>
        </w:trPr>
        <w:tc>
          <w:tcPr>
            <w:tcW w:w="5640" w:type="dxa"/>
            <w:vAlign w:val="bottom"/>
            <w:tcBorders>
              <w:left w:val="single" w:sz="8" w:color="auto"/>
              <w:right w:val="single" w:sz="8" w:color="auto"/>
            </w:tcBorders>
          </w:tcPr>
          <w:p>
            <w:pPr>
              <w:spacing w:after="0"/>
              <w:rPr>
                <w:sz w:val="16"/>
                <w:szCs w:val="16"/>
                <w:color w:val="auto"/>
              </w:rPr>
            </w:pPr>
          </w:p>
        </w:tc>
        <w:tc>
          <w:tcPr>
            <w:tcW w:w="5600" w:type="dxa"/>
            <w:vAlign w:val="bottom"/>
            <w:tcBorders>
              <w:right w:val="single" w:sz="8" w:color="auto"/>
            </w:tcBorders>
            <w:gridSpan w:val="11"/>
          </w:tcPr>
          <w:p>
            <w:pPr>
              <w:ind w:left="40"/>
              <w:spacing w:after="0" w:line="194" w:lineRule="exact"/>
              <w:rPr>
                <w:sz w:val="20"/>
                <w:szCs w:val="20"/>
                <w:color w:val="auto"/>
              </w:rPr>
            </w:pPr>
            <w:r>
              <w:rPr>
                <w:rFonts w:ascii="Times New Roman" w:cs="Times New Roman" w:eastAsia="Times New Roman" w:hAnsi="Times New Roman"/>
                <w:sz w:val="18"/>
                <w:szCs w:val="18"/>
                <w:color w:val="auto"/>
              </w:rPr>
              <w:t>“Deposit Agreement”), by and among the Company, the Depositary and all</w:t>
            </w:r>
          </w:p>
        </w:tc>
      </w:tr>
      <w:tr>
        <w:trPr>
          <w:trHeight w:val="20"/>
        </w:trPr>
        <w:tc>
          <w:tcPr>
            <w:tcW w:w="5640" w:type="dxa"/>
            <w:vAlign w:val="bottom"/>
            <w:tcBorders>
              <w:left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tcBorders>
              <w:right w:val="single" w:sz="8" w:color="auto"/>
            </w:tcBorders>
            <w:gridSpan w:val="5"/>
          </w:tcPr>
          <w:p>
            <w:pPr>
              <w:spacing w:after="0" w:line="20" w:lineRule="exact"/>
              <w:rPr>
                <w:sz w:val="1"/>
                <w:szCs w:val="1"/>
                <w:color w:val="auto"/>
              </w:rPr>
            </w:pPr>
          </w:p>
        </w:tc>
      </w:tr>
      <w:tr>
        <w:trPr>
          <w:trHeight w:val="237"/>
        </w:trPr>
        <w:tc>
          <w:tcPr>
            <w:tcW w:w="5640" w:type="dxa"/>
            <w:vAlign w:val="bottom"/>
            <w:tcBorders>
              <w:left w:val="single" w:sz="8" w:color="auto"/>
              <w:right w:val="single" w:sz="8" w:color="auto"/>
            </w:tcBorders>
          </w:tcPr>
          <w:p>
            <w:pPr>
              <w:spacing w:after="0"/>
              <w:rPr>
                <w:sz w:val="20"/>
                <w:szCs w:val="20"/>
                <w:color w:val="auto"/>
              </w:rPr>
            </w:pPr>
          </w:p>
        </w:tc>
        <w:tc>
          <w:tcPr>
            <w:tcW w:w="5600" w:type="dxa"/>
            <w:vAlign w:val="bottom"/>
            <w:tcBorders>
              <w:right w:val="single" w:sz="8" w:color="auto"/>
            </w:tcBorders>
            <w:gridSpan w:val="11"/>
          </w:tcPr>
          <w:p>
            <w:pPr>
              <w:ind w:left="40"/>
              <w:spacing w:after="0"/>
              <w:rPr>
                <w:sz w:val="20"/>
                <w:szCs w:val="20"/>
                <w:color w:val="auto"/>
              </w:rPr>
            </w:pPr>
            <w:r>
              <w:rPr>
                <w:rFonts w:ascii="Times New Roman" w:cs="Times New Roman" w:eastAsia="Times New Roman" w:hAnsi="Times New Roman"/>
                <w:sz w:val="18"/>
                <w:szCs w:val="18"/>
                <w:color w:val="auto"/>
              </w:rPr>
              <w:t>Holders and Beneficial Owners of ADSs issued thereunder.</w:t>
            </w:r>
          </w:p>
        </w:tc>
      </w:tr>
      <w:tr>
        <w:trPr>
          <w:trHeight w:val="41"/>
        </w:trPr>
        <w:tc>
          <w:tcPr>
            <w:tcW w:w="564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r>
      <w:tr>
        <w:trPr>
          <w:trHeight w:val="232"/>
        </w:trPr>
        <w:tc>
          <w:tcPr>
            <w:tcW w:w="56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Effective Date:</w:t>
            </w:r>
          </w:p>
        </w:tc>
        <w:tc>
          <w:tcPr>
            <w:tcW w:w="5600" w:type="dxa"/>
            <w:vAlign w:val="bottom"/>
            <w:tcBorders>
              <w:right w:val="single" w:sz="8" w:color="auto"/>
            </w:tcBorders>
            <w:gridSpan w:val="11"/>
          </w:tcPr>
          <w:p>
            <w:pPr>
              <w:ind w:left="40"/>
              <w:spacing w:after="0"/>
              <w:rPr>
                <w:sz w:val="20"/>
                <w:szCs w:val="20"/>
                <w:color w:val="auto"/>
              </w:rPr>
            </w:pPr>
            <w:r>
              <w:rPr>
                <w:rFonts w:ascii="Times New Roman" w:cs="Times New Roman" w:eastAsia="Times New Roman" w:hAnsi="Times New Roman"/>
                <w:sz w:val="18"/>
                <w:szCs w:val="18"/>
                <w:color w:val="auto"/>
              </w:rPr>
              <w:t>The earlier to occur of (i) the date upon which the Securities and Exchange</w:t>
            </w:r>
          </w:p>
        </w:tc>
      </w:tr>
      <w:tr>
        <w:trPr>
          <w:trHeight w:val="194"/>
        </w:trPr>
        <w:tc>
          <w:tcPr>
            <w:tcW w:w="5640" w:type="dxa"/>
            <w:vAlign w:val="bottom"/>
            <w:tcBorders>
              <w:left w:val="single" w:sz="8" w:color="auto"/>
              <w:right w:val="single" w:sz="8" w:color="auto"/>
            </w:tcBorders>
          </w:tcPr>
          <w:p>
            <w:pPr>
              <w:spacing w:after="0"/>
              <w:rPr>
                <w:sz w:val="16"/>
                <w:szCs w:val="16"/>
                <w:color w:val="auto"/>
              </w:rPr>
            </w:pPr>
          </w:p>
        </w:tc>
        <w:tc>
          <w:tcPr>
            <w:tcW w:w="5600" w:type="dxa"/>
            <w:vAlign w:val="bottom"/>
            <w:tcBorders>
              <w:right w:val="single" w:sz="8" w:color="auto"/>
            </w:tcBorders>
            <w:gridSpan w:val="11"/>
          </w:tcPr>
          <w:p>
            <w:pPr>
              <w:ind w:left="40"/>
              <w:spacing w:after="0" w:line="194" w:lineRule="exact"/>
              <w:rPr>
                <w:sz w:val="20"/>
                <w:szCs w:val="20"/>
                <w:color w:val="auto"/>
              </w:rPr>
            </w:pPr>
            <w:r>
              <w:rPr>
                <w:rFonts w:ascii="Times New Roman" w:cs="Times New Roman" w:eastAsia="Times New Roman" w:hAnsi="Times New Roman"/>
                <w:sz w:val="18"/>
                <w:szCs w:val="18"/>
                <w:color w:val="auto"/>
              </w:rPr>
              <w:t>Commission  (“SEC”)  declares  the  Form  15F  effective,  and  (ii)  the</w:t>
            </w:r>
          </w:p>
        </w:tc>
      </w:tr>
      <w:tr>
        <w:trPr>
          <w:trHeight w:val="20"/>
        </w:trPr>
        <w:tc>
          <w:tcPr>
            <w:tcW w:w="5640" w:type="dxa"/>
            <w:vAlign w:val="bottom"/>
            <w:tcBorders>
              <w:left w:val="single" w:sz="8" w:color="auto"/>
              <w:right w:val="single" w:sz="8" w:color="auto"/>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80" w:type="dxa"/>
            <w:vAlign w:val="bottom"/>
            <w:tcBorders>
              <w:right w:val="single" w:sz="8" w:color="auto"/>
            </w:tcBorders>
            <w:gridSpan w:val="5"/>
          </w:tcPr>
          <w:p>
            <w:pPr>
              <w:spacing w:after="0" w:line="20" w:lineRule="exact"/>
              <w:rPr>
                <w:sz w:val="1"/>
                <w:szCs w:val="1"/>
                <w:color w:val="auto"/>
              </w:rPr>
            </w:pPr>
          </w:p>
        </w:tc>
      </w:tr>
      <w:tr>
        <w:trPr>
          <w:trHeight w:val="218"/>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gridSpan w:val="11"/>
          </w:tcPr>
          <w:p>
            <w:pPr>
              <w:ind w:left="40"/>
              <w:spacing w:after="0"/>
              <w:rPr>
                <w:sz w:val="20"/>
                <w:szCs w:val="20"/>
                <w:color w:val="auto"/>
              </w:rPr>
            </w:pPr>
            <w:r>
              <w:rPr>
                <w:rFonts w:ascii="Times New Roman" w:cs="Times New Roman" w:eastAsia="Times New Roman" w:hAnsi="Times New Roman"/>
                <w:sz w:val="18"/>
                <w:szCs w:val="18"/>
                <w:color w:val="auto"/>
              </w:rPr>
              <w:t>expiration of ninety (90) days after the Company filed its Form 15F (such</w:t>
            </w:r>
          </w:p>
        </w:tc>
      </w:tr>
      <w:tr>
        <w:trPr>
          <w:trHeight w:val="194"/>
        </w:trPr>
        <w:tc>
          <w:tcPr>
            <w:tcW w:w="5640" w:type="dxa"/>
            <w:vAlign w:val="bottom"/>
            <w:tcBorders>
              <w:left w:val="single" w:sz="8" w:color="auto"/>
              <w:right w:val="single" w:sz="8" w:color="auto"/>
            </w:tcBorders>
          </w:tcPr>
          <w:p>
            <w:pPr>
              <w:spacing w:after="0"/>
              <w:rPr>
                <w:sz w:val="16"/>
                <w:szCs w:val="16"/>
                <w:color w:val="auto"/>
              </w:rPr>
            </w:pPr>
          </w:p>
        </w:tc>
        <w:tc>
          <w:tcPr>
            <w:tcW w:w="5600" w:type="dxa"/>
            <w:vAlign w:val="bottom"/>
            <w:tcBorders>
              <w:right w:val="single" w:sz="8" w:color="auto"/>
            </w:tcBorders>
            <w:gridSpan w:val="11"/>
          </w:tcPr>
          <w:p>
            <w:pPr>
              <w:ind w:left="40"/>
              <w:spacing w:after="0" w:line="194" w:lineRule="exact"/>
              <w:rPr>
                <w:sz w:val="20"/>
                <w:szCs w:val="20"/>
                <w:color w:val="auto"/>
              </w:rPr>
            </w:pPr>
            <w:r>
              <w:rPr>
                <w:rFonts w:ascii="Times New Roman" w:cs="Times New Roman" w:eastAsia="Times New Roman" w:hAnsi="Times New Roman"/>
                <w:sz w:val="18"/>
                <w:szCs w:val="18"/>
                <w:color w:val="auto"/>
              </w:rPr>
              <w:t>date, the “Effective Date”).</w:t>
            </w:r>
          </w:p>
        </w:tc>
      </w:tr>
      <w:tr>
        <w:trPr>
          <w:trHeight w:val="61"/>
        </w:trPr>
        <w:tc>
          <w:tcPr>
            <w:tcW w:w="5640" w:type="dxa"/>
            <w:vAlign w:val="bottom"/>
            <w:tcBorders>
              <w:left w:val="single" w:sz="8" w:color="auto"/>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300" w:type="dxa"/>
            <w:vAlign w:val="bottom"/>
            <w:tcBorders>
              <w:top w:val="single" w:sz="8" w:color="auto"/>
              <w:bottom w:val="single" w:sz="8" w:color="auto"/>
            </w:tcBorders>
          </w:tcPr>
          <w:p>
            <w:pPr>
              <w:spacing w:after="0"/>
              <w:rPr>
                <w:sz w:val="5"/>
                <w:szCs w:val="5"/>
                <w:color w:val="auto"/>
              </w:rPr>
            </w:pPr>
          </w:p>
        </w:tc>
        <w:tc>
          <w:tcPr>
            <w:tcW w:w="20" w:type="dxa"/>
            <w:vAlign w:val="bottom"/>
            <w:tcBorders>
              <w:top w:val="single" w:sz="8" w:color="auto"/>
              <w:bottom w:val="single" w:sz="8" w:color="auto"/>
            </w:tcBorders>
          </w:tcPr>
          <w:p>
            <w:pPr>
              <w:spacing w:after="0"/>
              <w:rPr>
                <w:sz w:val="5"/>
                <w:szCs w:val="5"/>
                <w:color w:val="auto"/>
              </w:rPr>
            </w:pPr>
          </w:p>
        </w:tc>
        <w:tc>
          <w:tcPr>
            <w:tcW w:w="280" w:type="dxa"/>
            <w:vAlign w:val="bottom"/>
            <w:tcBorders>
              <w:top w:val="single" w:sz="8" w:color="auto"/>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r>
    </w:tbl>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*ADS CUSIP No. is provided as a convenience only and without any liability for accuracy.</w:t>
      </w:r>
    </w:p>
    <w:p>
      <w:pPr>
        <w:spacing w:after="0" w:line="27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filed a Form 15F for the ADSs and the Shares with the SEC on [May 21], 2026 to suspend its reporting obligations under the Securities Exchange Act of 1934, as amended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to terminate the Company’s reporting obligations under the Exchange Act (the “</w:t>
      </w:r>
      <w:r>
        <w:rPr>
          <w:rFonts w:ascii="Times New Roman" w:cs="Times New Roman" w:eastAsia="Times New Roman" w:hAnsi="Times New Roman"/>
          <w:sz w:val="18"/>
          <w:szCs w:val="18"/>
          <w:u w:val="single" w:color="auto"/>
          <w:color w:val="auto"/>
        </w:rPr>
        <w:t>Deregistration</w:t>
      </w:r>
      <w:r>
        <w:rPr>
          <w:rFonts w:ascii="Times New Roman" w:cs="Times New Roman" w:eastAsia="Times New Roman" w:hAnsi="Times New Roman"/>
          <w:sz w:val="18"/>
          <w:szCs w:val="18"/>
          <w:color w:val="auto"/>
        </w:rPr>
        <w:t>”). As a result of the Deregistration, the Company’s obligation to file periodic reports with the SEC, including its annual report on Form 20-F, is immediately suspended. Once Form 15F is effective, which is expected to occur within 90 days of the Form 15F filing date, the Company’s obligations to file all other reports with the SEC will also be suspended.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and the Depositary have agreed to amend the Deposit Agreement to reflect the Deregistration. A draft copy of the amendment to the Deposit Agreement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has been filed with the SEC under cover of Post-Effective Amendment No. 1 to Registration Statement on Form F-6 (Registration No. 333-249809). As of the Effective Date, the Deposit Agreement and the terms of the outstanding ADSs are amended to reflect the Deregistration. By continuing to hold any outstanding ADSs issued under the Deposit Agreement after the Effective Date, you will be deemed to have agreed to be bound by the Deposit Agreement as amended.</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9" w:name="page50"/>
    <w:bookmarkEnd w:id="4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shall arrange to have new ADRs printed that reflect the changes effected by the Amendment. However, ADRs issued prior to the Effective Date do not need to be surrendered for exchange. If you hold ADSs in uncertificated form, you do not need to take any action.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information with respect to the Deregistration has been provided to the Depositary by the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and Beneficial Owners of ADSs should not rely on the Depositary as the sole source of information and are hereby instructed to consult their broker, financial intermediary, or legal or financial advisor for advice concerning their particular circumstances. The Depositary makes no recommendations and gives no investment, legal or tax advice as to the foregoing matters.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Copies of the Deposit Agreement and the form of Amendment are available from the SEC’s website at www.sec.gov and from the Depositary’s office located at 388 Greenwich Street, New York, New York 10013. If you have any questions regarding the Amendment, please call Citibank, N.A. — ADS Holder Services at 1-877-CITI-ADR.</w:t>
      </w:r>
    </w:p>
    <w:p>
      <w:pPr>
        <w:spacing w:after="0" w:line="176" w:lineRule="exact"/>
        <w:rPr>
          <w:sz w:val="20"/>
          <w:szCs w:val="20"/>
          <w:color w:val="auto"/>
        </w:rPr>
      </w:pPr>
    </w:p>
    <w:p>
      <w:pPr>
        <w:ind w:left="60"/>
        <w:spacing w:after="0"/>
        <w:tabs>
          <w:tab w:leader="none" w:pos="9080" w:val="left"/>
        </w:tabs>
        <w:rPr>
          <w:sz w:val="20"/>
          <w:szCs w:val="20"/>
          <w:color w:val="auto"/>
        </w:rPr>
      </w:pPr>
      <w:r>
        <w:rPr>
          <w:rFonts w:ascii="Times New Roman" w:cs="Times New Roman" w:eastAsia="Times New Roman" w:hAnsi="Times New Roman"/>
          <w:sz w:val="18"/>
          <w:szCs w:val="18"/>
          <w:color w:val="auto"/>
        </w:rPr>
        <w:t>[May 22], 2026</w:t>
      </w:r>
      <w:r>
        <w:rPr>
          <w:sz w:val="20"/>
          <w:szCs w:val="20"/>
          <w:color w:val="auto"/>
        </w:rPr>
        <w:tab/>
      </w:r>
      <w:r>
        <w:rPr>
          <w:rFonts w:ascii="Times New Roman" w:cs="Times New Roman" w:eastAsia="Times New Roman" w:hAnsi="Times New Roman"/>
          <w:sz w:val="18"/>
          <w:szCs w:val="18"/>
          <w:color w:val="auto"/>
        </w:rPr>
        <w:t>Citibank, N.A., as Depositary</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165735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Depositary,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HOLDERS AND BENEFICIAL OWNERS OF</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November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826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TABLE OF CONTENTS</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8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DEFINITIONS</w:t>
            </w:r>
          </w:p>
        </w:tc>
        <w:tc>
          <w:tcPr>
            <w:tcW w:w="8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1.1</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“ADS Record Date”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1.2</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“Affiliate”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1.3</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“American Depositary Receipt(s)”, “ADR(s)” and “Receipt(s)”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1.4</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“American Depositary Share(s)” and “ADS(s)”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1.5</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“Articles of Association”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1.6</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“Beneficial Owner”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1.7</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“Certificated ADS(s)”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1.8</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“Citibank”</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1.9</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“Commission”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1.10</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1.11</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“CREST”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1.12</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“Custodian”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1.13</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“Deliver” and “Delivery”</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1.14</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 Agreement”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1.15</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“Depositary”</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1.16</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“Deposited Property”</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1.17</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“Deposited Securities”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1.18</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“Disclosure Guidence and Transparency Rules” or “DTRs”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1.19</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“Dollars” and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1.20</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“DTC”</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1.21</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“DTC Participant”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1.22</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“Exchange Act”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1.23</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1.24</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“Full Entitlement ADR(s)”, “Full Entitlement ADS(s)” and “Full Entitlement Share(s)”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1.25</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“Holder(s)”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1.26</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“Partial Entitlement ADR(s)”, “Partial Entitlement ADS(s)” and “Partial Entitlement Share(s)”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1.27</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“Pounds”, “Pence”, and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1.28</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Office”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1.29</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“Registrar”</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1.30</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Securities”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1.31</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ADR(s)” “Restricted ADS(s)” and “Restricted Shares”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1.32</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“Securities Act”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1.33</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 Registrar”</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1.34</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1.35</w:t>
            </w: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“Uncertificated ADS(s)”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1.36</w:t>
            </w: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 and “U.S.”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APPOINTMENT OF DEPOSITARY; FORM OF RECEIPTS; DEPOSIT OF SHARES; EXECUTION AND DELIVERY, TRANSFER AND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SURRENDER OF RECEIPTS</w:t>
            </w:r>
          </w:p>
        </w:tc>
        <w:tc>
          <w:tcPr>
            <w:tcW w:w="6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2.1</w:t>
            </w:r>
          </w:p>
        </w:tc>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Appointment of Depositary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2.2</w:t>
            </w:r>
          </w:p>
        </w:tc>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Form and Transferability of ADSs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2.3</w:t>
            </w:r>
          </w:p>
        </w:tc>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 of Shares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2.4</w:t>
            </w:r>
          </w:p>
        </w:tc>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Registration and Safekeeping of Deposited Securities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2.5</w:t>
            </w:r>
          </w:p>
        </w:tc>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ADSs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2.6</w:t>
            </w:r>
          </w:p>
        </w:tc>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Transfer, Combination and Split-up of ADRs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2.7</w:t>
            </w:r>
          </w:p>
        </w:tc>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Surrender of ADSs and Withdrawal of Deposited Securities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2.8</w:t>
            </w:r>
          </w:p>
        </w:tc>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Limitations on Execution and Delivery, Transfer, etc. of ADSs; Suspension of Delivery, Transfer, etc</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2.9</w:t>
            </w:r>
          </w:p>
        </w:tc>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Lost ADRs, etc</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2.10</w:t>
            </w:r>
          </w:p>
        </w:tc>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 and Destruction of Surrendered ADRs; Maintenance of Records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2.11</w:t>
            </w:r>
          </w:p>
        </w:tc>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Escheatment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2.12</w:t>
            </w:r>
          </w:p>
        </w:tc>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Partial Entitlement ADSs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2.13</w:t>
            </w:r>
          </w:p>
        </w:tc>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Certificated/Uncertificated ADSs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2.14</w:t>
            </w:r>
          </w:p>
        </w:tc>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ADSs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w:t>
            </w:r>
          </w:p>
        </w:tc>
        <w:tc>
          <w:tcPr>
            <w:tcW w:w="8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OBLIGATIONS OF HOLDERS AND BENEFICIAL OWNERS OF ADSs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8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3.1</w:t>
            </w:r>
          </w:p>
        </w:tc>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Proofs, Certificates and Other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3.2</w:t>
            </w:r>
          </w:p>
        </w:tc>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Liability for Taxes and Other Charges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3.3</w:t>
            </w:r>
          </w:p>
        </w:tc>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Representations and Warranties on Deposit of Shares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3.4</w:t>
            </w:r>
          </w:p>
        </w:tc>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Compliance with Information Requests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3.5</w:t>
            </w:r>
          </w:p>
        </w:tc>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Ownership Restrictions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3.6</w:t>
            </w:r>
          </w:p>
        </w:tc>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Reporting Obligations and Regulatory Approvals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8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20" w:type="dxa"/>
            <w:vAlign w:val="bottom"/>
            <w:gridSpan w:val="2"/>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DEPOSITED SECURITIES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4.1</w:t>
            </w:r>
          </w:p>
        </w:tc>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Distributions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4.2</w:t>
            </w:r>
          </w:p>
        </w:tc>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 in Shares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4.3</w:t>
            </w:r>
          </w:p>
        </w:tc>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Elective Distributions in Cash or Shares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4.4</w:t>
            </w:r>
          </w:p>
        </w:tc>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 of Rights to Purchase Additional ADSs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4.5</w:t>
            </w:r>
          </w:p>
        </w:tc>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Other Than Cash, Shares or Rights to Purchase Shares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4.6</w:t>
            </w:r>
          </w:p>
        </w:tc>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with Respect to Deposited Securities in Bearer Form</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4.7</w:t>
            </w:r>
          </w:p>
        </w:tc>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Redemption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4.8</w:t>
            </w:r>
          </w:p>
        </w:tc>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of Foreign Currency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4.9</w:t>
            </w:r>
          </w:p>
        </w:tc>
        <w:tc>
          <w:tcPr>
            <w:tcW w:w="8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Fixing of ADS Record Date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4.10</w:t>
            </w:r>
          </w:p>
        </w:tc>
        <w:tc>
          <w:tcPr>
            <w:tcW w:w="8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Voting of Deposited Securities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6"/>
        </w:trPr>
        <w:tc>
          <w:tcPr>
            <w:tcW w:w="1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4.11</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Affecting Deposited Securities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4.12</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 Information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4.13</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Reports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4.14</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List of Holders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4.15</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Taxation</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w:t>
            </w:r>
          </w:p>
        </w:tc>
        <w:tc>
          <w:tcPr>
            <w:tcW w:w="77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DEPOSITARY, THE CUSTODIAN AND THE COMPANY</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5.1</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Maintenance of Office and Transfer Books by the Registrar</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5.2</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Exoneration</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5.3</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Standard of Care</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5.4</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Resignation and Removal of the Depositary; Appointment of Successor Depositary</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5.5</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Custodian</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5.6</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Notices and Reports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5.7</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Additional Shares, ADSs etc</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5.8</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Indemnification</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5.9</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ADS Fees and Charges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5.10</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Restricted Securities Owners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w:t>
            </w:r>
          </w:p>
        </w:tc>
        <w:tc>
          <w:tcPr>
            <w:tcW w:w="77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 AND TERMINATION</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6.1</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Amendment/Supplement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6.2</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Termination</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w:t>
            </w:r>
          </w:p>
        </w:tc>
        <w:tc>
          <w:tcPr>
            <w:tcW w:w="77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77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7.1</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Counterparts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7.2</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Third Party Beneficiaries/Acknowledgments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7.3</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7.4</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Holders and Beneficial Owners as Parties; Binding Effect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7.5</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7.6</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7.7</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Assignment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7.8</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Compliance with, and No Disclaimer under, U.S. Securities Laws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Section 7.9</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English Law References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7.10</w:t>
            </w: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Titles and References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EXHIBITS</w:t>
            </w:r>
          </w:p>
        </w:tc>
        <w:tc>
          <w:tcPr>
            <w:tcW w:w="77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ADR.</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18"/>
                <w:szCs w:val="18"/>
                <w:color w:val="auto"/>
              </w:rPr>
            </w:pPr>
          </w:p>
        </w:tc>
        <w:tc>
          <w:tcPr>
            <w:tcW w:w="7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Fee Schedule.</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dated as of November 11, 2020, by and among (i) PURETECH HEALTH PLC, a public limited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under the laws of England and Wales,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(ii) CITIBANK, N.A., a national banking association organized under the laws of the United States of America (“</w:t>
      </w:r>
      <w:r>
        <w:rPr>
          <w:rFonts w:ascii="Times New Roman" w:cs="Times New Roman" w:eastAsia="Times New Roman" w:hAnsi="Times New Roman"/>
          <w:sz w:val="18"/>
          <w:szCs w:val="18"/>
          <w:u w:val="single" w:color="auto"/>
          <w:color w:val="auto"/>
        </w:rPr>
        <w:t>Citibank</w:t>
      </w:r>
      <w:r>
        <w:rPr>
          <w:rFonts w:ascii="Times New Roman" w:cs="Times New Roman" w:eastAsia="Times New Roman" w:hAnsi="Times New Roman"/>
          <w:sz w:val="18"/>
          <w:szCs w:val="18"/>
          <w:color w:val="auto"/>
        </w:rPr>
        <w:t>”) acting in its capacity as depositary, and any successor depositary hereunder (Citibank in such capacity,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(iii) all Holders and Beneficial Owners of American Depositary Shares issued hereunder (all such capitalized terms as hereinafter defined).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  T H A 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desires to establish with the Depositary an ADR facility to provide for the deposit of the Shares (as hereinafter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and the creation of American Depositary Shares representing the Shares so deposited and for the execution and Delivery (as hereinafter defined) of American Depositary Receipts (as hereinafter defined) evidencing such American Depositary Shares; and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Depositary is willing to act as the Depositary for such ADR facility upon the terms set forth in the Deposit Agreement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defined);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any American Depositary Receipts issued pursuant to the terms of the Deposit Agreement are to be substantially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with appropriate insertions, modifications and omissions, as hereinafter provided in the Deposit Agreement;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Shares are admitted to trading on the main market of the London Stock Exchange plc, and American Depositary Shares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pursuant to the terms of the Deposit Agreement are to be listed for trading on Nasdaq; and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(or an authorized committee thereof) has duly approved the establishment of an ADR facility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terms set forth in the Deposit Agreement, the execution and delivery of the Deposit Agreement on behalf of the Company, and the actions of the Company and the transactions contemplated hereby.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meanings set forth below, unless otherwise clearly indicated: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ADS Record Date</w:t>
      </w:r>
      <w:r>
        <w:rPr>
          <w:rFonts w:ascii="Times New Roman" w:cs="Times New Roman" w:eastAsia="Times New Roman" w:hAnsi="Times New Roman"/>
          <w:sz w:val="18"/>
          <w:szCs w:val="18"/>
          <w:color w:val="auto"/>
        </w:rPr>
        <w:t>” shall have the meaning given to such term in Section 4.9.</w:t>
      </w:r>
    </w:p>
    <w:p>
      <w:pPr>
        <w:spacing w:after="0" w:line="3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5" w:name="page56"/>
    <w:bookmarkEnd w:id="55"/>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 “</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assigned to such term by the Commission (as hereinafter defined) under Regulation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under the Securities Act (as hereinafter defined), or under any successor regulation thereto.</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American Depositary Receipt(s)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ADR(s)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Receipt(s)</w:t>
      </w:r>
      <w:r>
        <w:rPr>
          <w:rFonts w:ascii="Times New Roman" w:cs="Times New Roman" w:eastAsia="Times New Roman" w:hAnsi="Times New Roman"/>
          <w:sz w:val="18"/>
          <w:szCs w:val="18"/>
          <w:color w:val="auto"/>
        </w:rPr>
        <w:t>” shall mean the certificate(s) issued by the Depositary to evidence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American Depositary Shares issued under the terms of the Deposit Agreement in the form of Certificated ADS(s) (as hereinafter defined), as such ADRs may be amended from time to time in accordance with the provisions of the Deposit Agreement. An ADR may evidence any number of ADSs and may, in the case of ADSs held through a central depository such as DTC, be in the form of a “Balance Certificate.”</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American Depositary Share(s)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ADS(s)</w:t>
      </w:r>
      <w:r>
        <w:rPr>
          <w:rFonts w:ascii="Times New Roman" w:cs="Times New Roman" w:eastAsia="Times New Roman" w:hAnsi="Times New Roman"/>
          <w:sz w:val="18"/>
          <w:szCs w:val="18"/>
          <w:color w:val="auto"/>
        </w:rPr>
        <w:t>” shall mean the rights and interests in the Deposited Property (as hereinafter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to the Holders and Beneficial Owners pursuant to the terms and conditions of the Deposit Agreement and, if issued as Certificated ADS(s) (as hereinafter defined), the ADR(s) issued to evidence such ADSs. ADS(s) may be issued under the terms of the Deposit Agreement in the form of</w:t>
      </w:r>
    </w:p>
    <w:p>
      <w:pPr>
        <w:jc w:val="both"/>
        <w:ind w:firstLine="8"/>
        <w:spacing w:after="0" w:line="251" w:lineRule="auto"/>
        <w:tabs>
          <w:tab w:leader="none" w:pos="24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Articles of Association</w:t>
      </w:r>
      <w:r>
        <w:rPr>
          <w:rFonts w:ascii="Times New Roman" w:cs="Times New Roman" w:eastAsia="Times New Roman" w:hAnsi="Times New Roman"/>
          <w:sz w:val="18"/>
          <w:szCs w:val="18"/>
          <w:color w:val="auto"/>
        </w:rPr>
        <w:t>” shall mean the Articles of Association of the Company, as amended and restated from time to time.</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Beneficial Owner</w:t>
      </w:r>
      <w:r>
        <w:rPr>
          <w:rFonts w:ascii="Times New Roman" w:cs="Times New Roman" w:eastAsia="Times New Roman" w:hAnsi="Times New Roman"/>
          <w:sz w:val="18"/>
          <w:szCs w:val="18"/>
          <w:color w:val="auto"/>
        </w:rPr>
        <w:t>” shall mean, as to any ADS, any person or entity having a beneficial interest deriving from the ownership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2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b w:val="1"/>
          <w:bCs w:val="1"/>
          <w:color w:val="auto"/>
        </w:rPr>
        <w:t>Section 1.7 “</w:t>
      </w:r>
      <w:r>
        <w:rPr>
          <w:rFonts w:ascii="Times New Roman" w:cs="Times New Roman" w:eastAsia="Times New Roman" w:hAnsi="Times New Roman"/>
          <w:sz w:val="18"/>
          <w:szCs w:val="18"/>
          <w:b w:val="1"/>
          <w:bCs w:val="1"/>
          <w:u w:val="single" w:color="auto"/>
          <w:color w:val="auto"/>
        </w:rPr>
        <w:t>Certificated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2.13.</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1.8 “</w:t>
      </w:r>
      <w:r>
        <w:rPr>
          <w:rFonts w:ascii="Times New Roman" w:cs="Times New Roman" w:eastAsia="Times New Roman" w:hAnsi="Times New Roman"/>
          <w:sz w:val="18"/>
          <w:szCs w:val="18"/>
          <w:b w:val="1"/>
          <w:bCs w:val="1"/>
          <w:u w:val="single" w:color="auto"/>
          <w:color w:val="auto"/>
        </w:rPr>
        <w:t>Citibank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Citibank, N.A., a national banking association organized under the laws of the United States of America,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successors.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shall mean the Securities and Exchange Commission of the United States or any successor governmental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in the United States.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shall mean PureTech Health plc, a public limited company incorporated and existing under the laws of England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Wales, and its successors.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CREST</w:t>
      </w:r>
      <w:r>
        <w:rPr>
          <w:rFonts w:ascii="Times New Roman" w:cs="Times New Roman" w:eastAsia="Times New Roman" w:hAnsi="Times New Roman"/>
          <w:sz w:val="18"/>
          <w:szCs w:val="18"/>
          <w:color w:val="auto"/>
        </w:rPr>
        <w:t>” shall mean the system for the paperless settlement of trades in securities and the holding of uncertificated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operated by CREST Limited in accordance with the Uncertificated Securities Regulations 2001 (SI 2001 No. 3755), as amended from time to time, or any successor thereto.</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Custodian</w:t>
      </w:r>
      <w:r>
        <w:rPr>
          <w:rFonts w:ascii="Times New Roman" w:cs="Times New Roman" w:eastAsia="Times New Roman" w:hAnsi="Times New Roman"/>
          <w:sz w:val="18"/>
          <w:szCs w:val="18"/>
          <w:color w:val="auto"/>
        </w:rPr>
        <w:t>” shall mean (i) as of the date hereof, Citibank, N.A. (London), having its principal office at Citigroup Centre, Canary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Wharf, London, E14 5LB, United Kingdom,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Deliver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Delivery</w:t>
      </w:r>
      <w:r>
        <w:rPr>
          <w:rFonts w:ascii="Times New Roman" w:cs="Times New Roman" w:eastAsia="Times New Roman" w:hAnsi="Times New Roman"/>
          <w:sz w:val="18"/>
          <w:szCs w:val="18"/>
          <w:color w:val="auto"/>
        </w:rPr>
        <w:t>” shall mean (x)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when used in respect of Shares and other Deposited Securities</w:t>
      </w:r>
      <w:r>
        <w:rPr>
          <w:rFonts w:ascii="Times New Roman" w:cs="Times New Roman" w:eastAsia="Times New Roman" w:hAnsi="Times New Roman"/>
          <w:sz w:val="18"/>
          <w:szCs w:val="18"/>
          <w:color w:val="auto"/>
        </w:rPr>
        <w:t>, whichever is appropriate of</w:t>
      </w:r>
    </w:p>
    <w:p>
      <w:pPr>
        <w:spacing w:after="0" w:line="31" w:lineRule="exact"/>
        <w:rPr>
          <w:sz w:val="20"/>
          <w:szCs w:val="20"/>
          <w:color w:val="auto"/>
        </w:rPr>
      </w:pPr>
    </w:p>
    <w:p>
      <w:pPr>
        <w:jc w:val="both"/>
        <w:ind w:firstLine="8"/>
        <w:spacing w:after="0" w:line="253" w:lineRule="auto"/>
        <w:tabs>
          <w:tab w:leader="none" w:pos="2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physical delivery of the certificate(s) representing such securities, or (ii) the book-entry transfer and recordation of such securities on the books of the Share Registrar (as hereinafter defined) or in the book-entry settlement of CREST, and (y) </w:t>
      </w:r>
      <w:r>
        <w:rPr>
          <w:rFonts w:ascii="Times New Roman" w:cs="Times New Roman" w:eastAsia="Times New Roman" w:hAnsi="Times New Roman"/>
          <w:sz w:val="18"/>
          <w:szCs w:val="18"/>
          <w:i w:val="1"/>
          <w:iCs w:val="1"/>
          <w:color w:val="auto"/>
        </w:rPr>
        <w:t>when used in respect of ADSs</w:t>
      </w:r>
      <w:r>
        <w:rPr>
          <w:rFonts w:ascii="Times New Roman" w:cs="Times New Roman" w:eastAsia="Times New Roman" w:hAnsi="Times New Roman"/>
          <w:sz w:val="18"/>
          <w:szCs w:val="18"/>
          <w:color w:val="auto"/>
        </w:rPr>
        <w:t>, either (i) the physical delivery of ADR(s) evidencing the ADSs, or (ii) the book-entry transfer and recordation of ADSs on the books of the Depositary or any book-entry settlement system in which the ADSs are settlement-eligible.</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Deposit Agreement</w:t>
      </w:r>
      <w:r>
        <w:rPr>
          <w:rFonts w:ascii="Times New Roman" w:cs="Times New Roman" w:eastAsia="Times New Roman" w:hAnsi="Times New Roman"/>
          <w:sz w:val="18"/>
          <w:szCs w:val="18"/>
          <w:color w:val="auto"/>
        </w:rPr>
        <w:t>” shall mean this Deposit Agreement and all exhibits hereto, as the same may from time to time be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supplemented from time to time in accordance with the terms of the Deposit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Depositary</w:t>
      </w:r>
      <w:r>
        <w:rPr>
          <w:rFonts w:ascii="Times New Roman" w:cs="Times New Roman" w:eastAsia="Times New Roman" w:hAnsi="Times New Roman"/>
          <w:sz w:val="18"/>
          <w:szCs w:val="18"/>
          <w:color w:val="auto"/>
        </w:rPr>
        <w:t>” shall mean Citibank, N.A., a national banking association organized under the laws of the United States,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as depositary under the terms of the Deposit Agreement, and any successor depositary hereunder.</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1.16 “</w:t>
      </w:r>
      <w:r>
        <w:rPr>
          <w:rFonts w:ascii="Times New Roman" w:cs="Times New Roman" w:eastAsia="Times New Roman" w:hAnsi="Times New Roman"/>
          <w:sz w:val="18"/>
          <w:szCs w:val="18"/>
          <w:b w:val="1"/>
          <w:bCs w:val="1"/>
          <w:u w:val="single" w:color="auto"/>
          <w:color w:val="auto"/>
        </w:rPr>
        <w:t>Deposited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Deposited Securities and any cash and other property held on deposit by the Depositary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Custodian in respect of the ADSs or the Deposited Securities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1.17 “</w:t>
      </w:r>
      <w:r>
        <w:rPr>
          <w:rFonts w:ascii="Times New Roman" w:cs="Times New Roman" w:eastAsia="Times New Roman" w:hAnsi="Times New Roman"/>
          <w:sz w:val="18"/>
          <w:szCs w:val="18"/>
          <w:b w:val="1"/>
          <w:bCs w:val="1"/>
          <w:u w:val="single" w:color="auto"/>
          <w:color w:val="auto"/>
        </w:rPr>
        <w:t>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Shares and any other securities held on deposit by the Custodian from time to time in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ADSs under the Deposit Agreement and constituting Deposited Property.</w:t>
      </w:r>
    </w:p>
    <w:p>
      <w:pPr>
        <w:spacing w:after="0" w:line="15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Disclosure Guidence and Transparency Rules” or “DTRs”</w:t>
      </w:r>
      <w:r>
        <w:rPr>
          <w:rFonts w:ascii="Times New Roman" w:cs="Times New Roman" w:eastAsia="Times New Roman" w:hAnsi="Times New Roman"/>
          <w:sz w:val="18"/>
          <w:szCs w:val="18"/>
          <w:color w:val="auto"/>
        </w:rPr>
        <w:t>shall mean the Disclosure Guidence and Transparency Rules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Kingdom Financial Conduct Authority (or any successor), as amended, replaced and re-enacted or supplemented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shall refer to the lawful currency of the United States.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DTC</w:t>
      </w:r>
      <w:r>
        <w:rPr>
          <w:rFonts w:ascii="Times New Roman" w:cs="Times New Roman" w:eastAsia="Times New Roman" w:hAnsi="Times New Roman"/>
          <w:sz w:val="18"/>
          <w:szCs w:val="18"/>
          <w:color w:val="auto"/>
        </w:rPr>
        <w:t>” shall mean The Depository Trust Company, a national clearinghouse and the central book-entry settlement system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traded in the United States and, as such, the custodian for the securities of DTC Participants (as hereinafter defined) maintained in DTC, and any successor thereto.</w:t>
      </w:r>
    </w:p>
    <w:p>
      <w:pPr>
        <w:spacing w:after="0" w:line="2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8" w:name="page59"/>
    <w:bookmarkEnd w:id="58"/>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DTC Participant</w:t>
      </w:r>
      <w:r>
        <w:rPr>
          <w:rFonts w:ascii="Times New Roman" w:cs="Times New Roman" w:eastAsia="Times New Roman" w:hAnsi="Times New Roman"/>
          <w:sz w:val="18"/>
          <w:szCs w:val="18"/>
          <w:color w:val="auto"/>
        </w:rPr>
        <w:t>” shall mean any financial institution (or any nominee of such institution) having one or more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shall mean the United States Securities Exchange Act of 1934,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Foreign Currency</w:t>
      </w:r>
      <w:r>
        <w:rPr>
          <w:rFonts w:ascii="Times New Roman" w:cs="Times New Roman" w:eastAsia="Times New Roman" w:hAnsi="Times New Roman"/>
          <w:sz w:val="18"/>
          <w:szCs w:val="18"/>
          <w:color w:val="auto"/>
        </w:rPr>
        <w:t>” shall mean any currency other than Dollars.</w:t>
      </w:r>
    </w:p>
    <w:p>
      <w:pPr>
        <w:spacing w:after="0" w:line="22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1.24 “</w:t>
      </w:r>
      <w:r>
        <w:rPr>
          <w:rFonts w:ascii="Times New Roman" w:cs="Times New Roman" w:eastAsia="Times New Roman" w:hAnsi="Times New Roman"/>
          <w:sz w:val="18"/>
          <w:szCs w:val="18"/>
          <w:b w:val="1"/>
          <w:bCs w:val="1"/>
          <w:u w:val="single" w:color="auto"/>
          <w:color w:val="auto"/>
        </w:rPr>
        <w:t>Full Entitlement ADR(s)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Full Entitlement ADS(s)</w:t>
      </w:r>
      <w:r>
        <w:rPr>
          <w:rFonts w:ascii="Times New Roman" w:cs="Times New Roman" w:eastAsia="Times New Roman" w:hAnsi="Times New Roman"/>
          <w:sz w:val="18"/>
          <w:szCs w:val="18"/>
          <w:b w:val="1"/>
          <w:bCs w:val="1"/>
          <w:color w:val="auto"/>
        </w:rPr>
        <w:t>” and “</w:t>
      </w:r>
      <w:r>
        <w:rPr>
          <w:rFonts w:ascii="Times New Roman" w:cs="Times New Roman" w:eastAsia="Times New Roman" w:hAnsi="Times New Roman"/>
          <w:sz w:val="18"/>
          <w:szCs w:val="18"/>
          <w:b w:val="1"/>
          <w:bCs w:val="1"/>
          <w:u w:val="single" w:color="auto"/>
          <w:color w:val="auto"/>
        </w:rPr>
        <w:t>Full Entitlement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 meanings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Section 2.12.</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color w:val="auto"/>
        </w:rPr>
        <w:t>” shall mean the person(s) in whose name the ADSs are registered on the books of the Depositary (or the Registrar,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Deposit Agreement.</w:t>
      </w:r>
    </w:p>
    <w:p>
      <w:pPr>
        <w:spacing w:after="0" w:line="179"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1.26 “</w:t>
      </w:r>
      <w:r>
        <w:rPr>
          <w:rFonts w:ascii="Times New Roman" w:cs="Times New Roman" w:eastAsia="Times New Roman" w:hAnsi="Times New Roman"/>
          <w:sz w:val="18"/>
          <w:szCs w:val="18"/>
          <w:b w:val="1"/>
          <w:bCs w:val="1"/>
          <w:u w:val="single" w:color="auto"/>
          <w:color w:val="auto"/>
        </w:rPr>
        <w:t>Partial Entitlement ADR(s)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Partial Entitlement ADS(s)</w:t>
      </w:r>
      <w:r>
        <w:rPr>
          <w:rFonts w:ascii="Times New Roman" w:cs="Times New Roman" w:eastAsia="Times New Roman" w:hAnsi="Times New Roman"/>
          <w:sz w:val="18"/>
          <w:szCs w:val="18"/>
          <w:b w:val="1"/>
          <w:bCs w:val="1"/>
          <w:color w:val="auto"/>
        </w:rPr>
        <w:t>” and “</w:t>
      </w:r>
      <w:r>
        <w:rPr>
          <w:rFonts w:ascii="Times New Roman" w:cs="Times New Roman" w:eastAsia="Times New Roman" w:hAnsi="Times New Roman"/>
          <w:sz w:val="18"/>
          <w:szCs w:val="18"/>
          <w:b w:val="1"/>
          <w:bCs w:val="1"/>
          <w:u w:val="single" w:color="auto"/>
          <w:color w:val="auto"/>
        </w:rPr>
        <w:t>Partial Entitlement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 set forth in Section 2.12.</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Pounds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Pence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shall refer to the lawful currency of England.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Principal Office</w:t>
      </w:r>
      <w:r>
        <w:rPr>
          <w:rFonts w:ascii="Times New Roman" w:cs="Times New Roman" w:eastAsia="Times New Roman" w:hAnsi="Times New Roman"/>
          <w:sz w:val="18"/>
          <w:szCs w:val="18"/>
          <w:color w:val="auto"/>
        </w:rPr>
        <w:t>” shall mean, when used with respect to the Depositary, the principal office of the Depositary at which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time its depositary receipts business shall be administered, which, at the date of the Deposit Agreement, is located at 388 Greenwich Street, New York, New York 10013, U.S.A.</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Registrar</w:t>
      </w:r>
      <w:r>
        <w:rPr>
          <w:rFonts w:ascii="Times New Roman" w:cs="Times New Roman" w:eastAsia="Times New Roman" w:hAnsi="Times New Roman"/>
          <w:sz w:val="18"/>
          <w:szCs w:val="18"/>
          <w:color w:val="auto"/>
        </w:rPr>
        <w:t>” shall mean the Depositary or any bank or trust company having an office in the Borough of Manhattan, The City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9" w:name="page60"/>
    <w:bookmarkEnd w:id="59"/>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Restricted Securities</w:t>
      </w:r>
      <w:r>
        <w:rPr>
          <w:rFonts w:ascii="Times New Roman" w:cs="Times New Roman" w:eastAsia="Times New Roman" w:hAnsi="Times New Roman"/>
          <w:sz w:val="18"/>
          <w:szCs w:val="18"/>
          <w:color w:val="auto"/>
        </w:rPr>
        <w:t>” shall mean Shares, Deposited Securities or ADSs which (i) have been acquired directly or indirectly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England and Wales, or under a shareholder agreement or the Articles of Association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Restricted ADR(s)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Restricted ADS(s)</w:t>
      </w:r>
      <w:r>
        <w:rPr>
          <w:rFonts w:ascii="Times New Roman" w:cs="Times New Roman" w:eastAsia="Times New Roman" w:hAnsi="Times New Roman"/>
          <w:sz w:val="18"/>
          <w:szCs w:val="18"/>
          <w:b w:val="1"/>
          <w:bCs w:val="1"/>
          <w:color w:val="auto"/>
        </w:rPr>
        <w:t>” and “</w:t>
      </w:r>
      <w:r>
        <w:rPr>
          <w:rFonts w:ascii="Times New Roman" w:cs="Times New Roman" w:eastAsia="Times New Roman" w:hAnsi="Times New Roman"/>
          <w:sz w:val="18"/>
          <w:szCs w:val="18"/>
          <w:b w:val="1"/>
          <w:bCs w:val="1"/>
          <w:u w:val="single" w:color="auto"/>
          <w:color w:val="auto"/>
        </w:rPr>
        <w:t>Restricted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 meanings set forth in Section 2.14.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shall mean the United States Securities Act of 1933, as amended from time to time.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Share Registrar</w:t>
      </w:r>
      <w:r>
        <w:rPr>
          <w:rFonts w:ascii="Times New Roman" w:cs="Times New Roman" w:eastAsia="Times New Roman" w:hAnsi="Times New Roman"/>
          <w:sz w:val="18"/>
          <w:szCs w:val="18"/>
          <w:color w:val="auto"/>
        </w:rPr>
        <w:t>” shall mean Computershare Investor Services PLC, a company registered in England and Wales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 organized under the laws of England and Wales appointed by the Company from time to time to carry out the duties of registrar for the Shares, and any successor thereto.</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shall mean the Company’s ordinary shares, with a nominal value of £0.01 per share, validly issued and outstanding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fully paid and may, if the Depositary so agrees after consultation with the Company, include evidence of the right to receive Shares;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in no event shall Shares include evidence of the right to receive Shares with respect to which the full purchase price has not been paid or Shares as to which preemptive rights have theretofore not been validly waived or exercised;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there shall occur any change in nominal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1.35 “</w:t>
      </w:r>
      <w:r>
        <w:rPr>
          <w:rFonts w:ascii="Times New Roman" w:cs="Times New Roman" w:eastAsia="Times New Roman" w:hAnsi="Times New Roman"/>
          <w:sz w:val="18"/>
          <w:szCs w:val="18"/>
          <w:b w:val="1"/>
          <w:bCs w:val="1"/>
          <w:u w:val="single" w:color="auto"/>
          <w:color w:val="auto"/>
        </w:rPr>
        <w:t>Uncertificated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2.13.</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U.S.</w:t>
      </w:r>
      <w:r>
        <w:rPr>
          <w:rFonts w:ascii="Times New Roman" w:cs="Times New Roman" w:eastAsia="Times New Roman" w:hAnsi="Times New Roman"/>
          <w:sz w:val="18"/>
          <w:szCs w:val="18"/>
          <w:color w:val="auto"/>
        </w:rPr>
        <w:t>” shall have the meaning assigned to it in Regulation S as promulgated by the Commission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w:t>
      </w: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APPOINTMENT OF DEPOSITARY; FORM OF RECEIPTS;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 OF SHARES; EXECUTION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TRANSFER AND SURRENDER OF RECEIPTS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Appointment of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appoints the Depositary as depositary for the Deposited Property and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w:t>
      </w:r>
    </w:p>
    <w:p>
      <w:pPr>
        <w:spacing w:after="0" w:line="3" w:lineRule="exact"/>
        <w:rPr>
          <w:sz w:val="20"/>
          <w:szCs w:val="20"/>
          <w:color w:val="auto"/>
        </w:rPr>
      </w:pPr>
    </w:p>
    <w:p>
      <w:pPr>
        <w:jc w:val="both"/>
        <w:ind w:firstLine="8"/>
        <w:spacing w:after="0" w:line="253" w:lineRule="auto"/>
        <w:tabs>
          <w:tab w:leader="none" w:pos="2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Form and Transferability of ADSs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53" w:lineRule="auto"/>
        <w:tabs>
          <w:tab w:leader="none" w:pos="975"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Certificated ADSs shall be evidenced by definitive ADRs which shall be engraved, printed, lithographed or produced in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manner as may be agreed upon by the Company and the Depositary. ADRs may be issued under the Deposit Agreement in denominations of any whole number of ADSs. The ADRs shall be substantially in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187" w:lineRule="exact"/>
        <w:rPr>
          <w:rFonts w:ascii="Times New Roman" w:cs="Times New Roman" w:eastAsia="Times New Roman" w:hAnsi="Times New Roman"/>
          <w:sz w:val="18"/>
          <w:szCs w:val="18"/>
          <w:b w:val="1"/>
          <w:bCs w:val="1"/>
          <w:color w:val="auto"/>
        </w:rPr>
      </w:pPr>
    </w:p>
    <w:p>
      <w:pPr>
        <w:jc w:val="both"/>
        <w:ind w:right="20" w:firstLine="656"/>
        <w:spacing w:after="0" w:line="263" w:lineRule="auto"/>
        <w:tabs>
          <w:tab w:leader="none" w:pos="1187"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Legends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ADRs may be endorsed with, or have incorporated in the text thereof, such legends or recitals not inconsistent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Deposit Agreement as may be (i) necessary to enable the Depositary and the Company to perform their respective obligations hereunder,</w:t>
      </w:r>
    </w:p>
    <w:p>
      <w:pPr>
        <w:jc w:val="both"/>
        <w:ind w:firstLine="8"/>
        <w:spacing w:after="0" w:line="252" w:lineRule="auto"/>
        <w:tabs>
          <w:tab w:leader="none" w:pos="2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1" w:name="page62"/>
    <w:bookmarkEnd w:id="61"/>
    <w:p>
      <w:pPr>
        <w:jc w:val="both"/>
        <w:ind w:firstLine="656"/>
        <w:spacing w:after="0" w:line="255" w:lineRule="auto"/>
        <w:tabs>
          <w:tab w:leader="none" w:pos="951"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herein and in the ADR, title to an ADR (and to each Certificated ADS evidenced thereby)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1093"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Book-Entry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make arrangements for the acceptance of the ADSs into DTC. All ADSs held through DTC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registered in the name of the nominee for DTC (currently “</w:t>
      </w:r>
      <w:r>
        <w:rPr>
          <w:rFonts w:ascii="Times New Roman" w:cs="Times New Roman" w:eastAsia="Times New Roman" w:hAnsi="Times New Roman"/>
          <w:sz w:val="18"/>
          <w:szCs w:val="18"/>
          <w:u w:val="single" w:color="auto"/>
          <w:color w:val="auto"/>
        </w:rPr>
        <w:t>Cede &amp; Co.</w:t>
      </w:r>
      <w:r>
        <w:rPr>
          <w:rFonts w:ascii="Times New Roman" w:cs="Times New Roman" w:eastAsia="Times New Roman" w:hAnsi="Times New Roman"/>
          <w:sz w:val="18"/>
          <w:szCs w:val="18"/>
          <w:color w:val="auto"/>
        </w:rPr>
        <w:t>”). The nominee of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2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2" w:name="page63"/>
    <w:bookmarkEnd w:id="62"/>
    <w:p>
      <w:pPr>
        <w:jc w:val="both"/>
        <w:ind w:firstLine="648"/>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Section 2.3 </w:t>
      </w:r>
      <w:r>
        <w:rPr>
          <w:rFonts w:ascii="Times New Roman" w:cs="Times New Roman" w:eastAsia="Times New Roman" w:hAnsi="Times New Roman"/>
          <w:sz w:val="17"/>
          <w:szCs w:val="17"/>
          <w:b w:val="1"/>
          <w:bCs w:val="1"/>
          <w:u w:val="single" w:color="auto"/>
          <w:color w:val="auto"/>
        </w:rPr>
        <w:t>Deposit of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the terms and conditions of the Deposit Agreement and applicable law, Shares or evidence of rights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Times New Roman" w:cs="Times New Roman" w:eastAsia="Times New Roman" w:hAnsi="Times New Roman"/>
          <w:sz w:val="17"/>
          <w:szCs w:val="17"/>
          <w:i w:val="1"/>
          <w:iCs w:val="1"/>
          <w:color w:val="auto"/>
        </w:rPr>
        <w:t>in the case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Shares represented by certificates issued in registered form</w:t>
      </w:r>
      <w:r>
        <w:rPr>
          <w:rFonts w:ascii="Times New Roman" w:cs="Times New Roman" w:eastAsia="Times New Roman" w:hAnsi="Times New Roman"/>
          <w:sz w:val="17"/>
          <w:szCs w:val="17"/>
          <w:color w:val="auto"/>
        </w:rPr>
        <w:t>, the certificate(s) representing such Shares and, where relevant, appropriate instruments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transfer or endorsement, in a form reasonably satisfactory to the Custodian, (ii) </w:t>
      </w:r>
      <w:r>
        <w:rPr>
          <w:rFonts w:ascii="Times New Roman" w:cs="Times New Roman" w:eastAsia="Times New Roman" w:hAnsi="Times New Roman"/>
          <w:sz w:val="17"/>
          <w:szCs w:val="17"/>
          <w:i w:val="1"/>
          <w:iCs w:val="1"/>
          <w:color w:val="auto"/>
        </w:rPr>
        <w:t>in the case of Shares represented by certificates in bearer form,</w:t>
      </w:r>
      <w:r>
        <w:rPr>
          <w:rFonts w:ascii="Times New Roman" w:cs="Times New Roman" w:eastAsia="Times New Roman" w:hAnsi="Times New Roman"/>
          <w:sz w:val="17"/>
          <w:szCs w:val="17"/>
          <w:color w:val="auto"/>
        </w:rPr>
        <w:t xml:space="preserve"> the requisite coupons and talons pertaining thereto, and (iii) </w:t>
      </w:r>
      <w:r>
        <w:rPr>
          <w:rFonts w:ascii="Times New Roman" w:cs="Times New Roman" w:eastAsia="Times New Roman" w:hAnsi="Times New Roman"/>
          <w:sz w:val="17"/>
          <w:szCs w:val="17"/>
          <w:i w:val="1"/>
          <w:iCs w:val="1"/>
          <w:color w:val="auto"/>
        </w:rPr>
        <w:t>in the case of Shares delivered by book-entry transfer and recordation</w:t>
      </w:r>
      <w:r>
        <w:rPr>
          <w:rFonts w:ascii="Times New Roman" w:cs="Times New Roman" w:eastAsia="Times New Roman" w:hAnsi="Times New Roman"/>
          <w:sz w:val="17"/>
          <w:szCs w:val="17"/>
          <w:color w:val="auto"/>
        </w:rPr>
        <w:t>, confirmation of such book-entry transfer and recordation in the books of the Share Registrar or of CREST, as applicable, to the Custodian or that irrevocable instructions have been given to cause such Shares to be so issued or transferred, as applicable, and recorded, (B) such certifications and payments (including, without limitation, the Depositary’s fees and related charges) and evidence of such payments (including, without limitation, stamping or otherwise marking such Shares by way of receipt) as may be reasonably required by the Depositary or the Custodian in accordance with the provisions of the Deposit Agreement and applicable law,</w:t>
      </w:r>
    </w:p>
    <w:p>
      <w:pPr>
        <w:spacing w:after="0" w:line="6" w:lineRule="exact"/>
        <w:rPr>
          <w:sz w:val="20"/>
          <w:szCs w:val="20"/>
          <w:color w:val="auto"/>
        </w:rPr>
      </w:pPr>
    </w:p>
    <w:p>
      <w:pPr>
        <w:jc w:val="both"/>
        <w:ind w:firstLine="8"/>
        <w:spacing w:after="0" w:line="251" w:lineRule="auto"/>
        <w:tabs>
          <w:tab w:leader="none" w:pos="29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England and Wales, and (E) if the Depositary so requires, (i) an agreement, assignment or instrument reasonably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England and Wales and any necessary approval has been granted by any applicable governmental body in England and Wales,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3" w:name="page64"/>
    <w:bookmarkEnd w:id="6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Articles of Association of the Company or English law.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Registration and Safekeeping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instruct the Custodian upon each Delivery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Shares 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2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4" w:name="page65"/>
    <w:bookmarkEnd w:id="64"/>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Issuance of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has made arrangements with the Custodian for the Custodian to confirm to the Depositary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on the books of CREST,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are entitled, but, in each case, only upon payment to the Depositary of the charges of the Depositary for accepting a deposit of Shares and issuing ADSs (as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all taxes and governmental charges and fees payable in connection with such deposit and the transfer of the Shares and the issuance of the ADS(s). The Depositary shall only issue ADSs in whole numbers and deliver, if applicable, ADR(s) evidencing whole numbers of ADSs.</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 the Depositary hereby understand and agree that Restricted ADSs may be issued by the Depositary prior to the effective date of Registration Statement on Form F-6; however, freely transferable ADSs may not be issued by the Depositary until the applicable Registration Statement on Form F-6 is declared effective by the Commission.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Transfer, Combination and Split-up of ADRs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54" w:lineRule="auto"/>
        <w:tabs>
          <w:tab w:leader="none" w:pos="948"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transfer of ADRs (and of the ADSs represented thereby) on the books maintained for such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w:t>
      </w:r>
    </w:p>
    <w:p>
      <w:pPr>
        <w:spacing w:after="0" w:line="3"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32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the applicable ADRs, of the Deposit Agreement and of applicable law, in each case as in effect at the time thereof.</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5" w:name="page66"/>
    <w:bookmarkEnd w:id="65"/>
    <w:p>
      <w:pPr>
        <w:jc w:val="both"/>
        <w:ind w:firstLine="656"/>
        <w:spacing w:after="0" w:line="255" w:lineRule="auto"/>
        <w:tabs>
          <w:tab w:leader="none" w:pos="11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Combination &amp; Split-Up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split-up or combination of ADRs (and of the ADSs represented thereby)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books maintained for such purpose and the Depositary shall (x) cancel such ADRs and execute new ADRs for the number of ADSs requested, but in the aggregate not exceeding the number of ADSs evidenced by the ADRs canceled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applicable ADRs, of the Deposit Agreement and of applicable law, in each case as in effect at the time thereof.</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ADSs shall be entitled to Delivery (at the Custodian’s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ADRs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the Deposit Agreement, of the ADRs evidencing the ADSs so canceled, of the Articles of Association of the Company, of any applicable laws and of the rules of CREST, and to the terms and conditions of or governing the Deposited Securities, in each case as in effect at the time thereof.</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6" w:name="page67"/>
    <w:bookmarkEnd w:id="6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as a result of such sale) to the person surrendering the ADSs.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b w:val="1"/>
          <w:bCs w:val="1"/>
          <w:u w:val="single" w:color="auto"/>
          <w:color w:val="auto"/>
        </w:rPr>
        <w:t>Limitations on Execution and Delivery, Transfer, etc. of ADSs; Suspension of Delivery, Transfer, etc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69" w:lineRule="auto"/>
        <w:tabs>
          <w:tab w:leader="none" w:pos="948" w:val="left"/>
        </w:tabs>
        <w:numPr>
          <w:ilvl w:val="1"/>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Additional Requirements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a condition precedent to the execution and Delivery, the registration of issuance, transfer, split-up, combination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(ii) the production of proof reasonably satisfactory to it as to the identity and genuineness of any signature or any other matter contemplated by Section 3.1, and (iii) compliance with</w:t>
      </w:r>
    </w:p>
    <w:p>
      <w:pPr>
        <w:spacing w:after="0" w:line="3" w:lineRule="exact"/>
        <w:rPr>
          <w:rFonts w:ascii="Times New Roman" w:cs="Times New Roman" w:eastAsia="Times New Roman" w:hAnsi="Times New Roman"/>
          <w:sz w:val="17"/>
          <w:szCs w:val="17"/>
          <w:b w:val="1"/>
          <w:bCs w:val="1"/>
          <w:color w:val="auto"/>
        </w:rPr>
      </w:pPr>
    </w:p>
    <w:p>
      <w:pPr>
        <w:ind w:left="320" w:hanging="312"/>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 or governmental regulations relating to the execution and Delivery of ADRs or ADSs or to the withdrawal of Deposited Securities and</w:t>
      </w:r>
    </w:p>
    <w:p>
      <w:pPr>
        <w:spacing w:after="0" w:line="9" w:lineRule="exact"/>
        <w:rPr>
          <w:rFonts w:ascii="Times New Roman" w:cs="Times New Roman" w:eastAsia="Times New Roman" w:hAnsi="Times New Roman"/>
          <w:sz w:val="18"/>
          <w:szCs w:val="18"/>
          <w:color w:val="auto"/>
        </w:rPr>
      </w:pPr>
    </w:p>
    <w:p>
      <w:pPr>
        <w:ind w:right="20" w:firstLine="8"/>
        <w:spacing w:after="0" w:line="260" w:lineRule="auto"/>
        <w:tabs>
          <w:tab w:leader="none" w:pos="29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reasonable regulations as the Depositary and the Company may establish consistent with the provisions of the representative ADR, if applicable, the Deposit Agreement and applicable law.</w:t>
      </w:r>
    </w:p>
    <w:p>
      <w:pPr>
        <w:spacing w:after="0" w:line="177" w:lineRule="exact"/>
        <w:rPr>
          <w:rFonts w:ascii="Times New Roman" w:cs="Times New Roman" w:eastAsia="Times New Roman" w:hAnsi="Times New Roman"/>
          <w:sz w:val="18"/>
          <w:szCs w:val="18"/>
          <w:color w:val="auto"/>
        </w:rPr>
      </w:pPr>
    </w:p>
    <w:p>
      <w:pPr>
        <w:jc w:val="both"/>
        <w:ind w:firstLine="656"/>
        <w:spacing w:after="0" w:line="256" w:lineRule="auto"/>
        <w:tabs>
          <w:tab w:leader="none" w:pos="1228"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Limitations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of ADSs against deposits of Shares generally or against deposits of particular Shares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7.8(a).</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7" w:name="page68"/>
    <w:bookmarkEnd w:id="67"/>
    <w:p>
      <w:pPr>
        <w:jc w:val="both"/>
        <w:ind w:firstLine="656"/>
        <w:spacing w:after="0" w:line="257" w:lineRule="auto"/>
        <w:tabs>
          <w:tab w:leader="none" w:pos="96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Regulatory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provision of the Deposit Agreement or any ADR(s) to the contrary, Holders are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Lost ADRs,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ADR shall be mutilated, destroyed, lost, or stolen, the Depositary shall execute and deliver a new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like tenor at the expense of the Holder (a) </w:t>
      </w:r>
      <w:r>
        <w:rPr>
          <w:rFonts w:ascii="Times New Roman" w:cs="Times New Roman" w:eastAsia="Times New Roman" w:hAnsi="Times New Roman"/>
          <w:sz w:val="18"/>
          <w:szCs w:val="18"/>
          <w:i w:val="1"/>
          <w:iCs w:val="1"/>
          <w:color w:val="auto"/>
        </w:rPr>
        <w:t>in the case of a mutilated ADR,</w:t>
      </w:r>
      <w:r>
        <w:rPr>
          <w:rFonts w:ascii="Times New Roman" w:cs="Times New Roman" w:eastAsia="Times New Roman" w:hAnsi="Times New Roman"/>
          <w:sz w:val="18"/>
          <w:szCs w:val="18"/>
          <w:color w:val="auto"/>
        </w:rPr>
        <w:t xml:space="preserve"> in exchange of and substitution for such mutilated ADR upon cancellation thereof, or (b) </w:t>
      </w:r>
      <w:r>
        <w:rPr>
          <w:rFonts w:ascii="Times New Roman" w:cs="Times New Roman" w:eastAsia="Times New Roman" w:hAnsi="Times New Roman"/>
          <w:sz w:val="18"/>
          <w:szCs w:val="18"/>
          <w:i w:val="1"/>
          <w:iCs w:val="1"/>
          <w:color w:val="auto"/>
        </w:rPr>
        <w:t>in the case of a destroyed, lost or stolen ADR,</w:t>
      </w:r>
      <w:r>
        <w:rPr>
          <w:rFonts w:ascii="Times New Roman" w:cs="Times New Roman" w:eastAsia="Times New Roman" w:hAnsi="Times New Roman"/>
          <w:sz w:val="18"/>
          <w:szCs w:val="18"/>
          <w:color w:val="auto"/>
        </w:rPr>
        <w:t xml:space="preserve"> in lieu of and in substitution for such destroyed, lost, or stolen ADR, after the Holder thereof</w:t>
      </w:r>
    </w:p>
    <w:p>
      <w:pPr>
        <w:jc w:val="both"/>
        <w:ind w:firstLine="8"/>
        <w:spacing w:after="0" w:line="253" w:lineRule="auto"/>
        <w:tabs>
          <w:tab w:leader="none" w:pos="2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ADR, the authenticity thereof and the Holder’s ownership thereof.</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Cancellation and Destruction of Surrendered ADRs; Maintenance of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ADRs surrendered to the Depositary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canceled by the Depositary. Canceled ADRs shall not be entitled to any benefits under the Deposit Agreement or be valid or enforceable against the Depositary for any purpose. The Depositary is authorized to destroy ADRs so canceled, provided the Depositary maintains a record of all destroyed ADRs. Any ADSs held in book-entry form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Escheatment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any unclaimed property relating to the ADSs, for any reason, is in the possession of Depositary and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8" w:name="page69"/>
    <w:bookmarkEnd w:id="68"/>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2.12 </w:t>
      </w:r>
      <w:r>
        <w:rPr>
          <w:rFonts w:ascii="Times New Roman" w:cs="Times New Roman" w:eastAsia="Times New Roman" w:hAnsi="Times New Roman"/>
          <w:sz w:val="18"/>
          <w:szCs w:val="18"/>
          <w:b w:val="1"/>
          <w:bCs w:val="1"/>
          <w:u w:val="single" w:color="auto"/>
          <w:color w:val="auto"/>
        </w:rPr>
        <w:t>Partial Entitlement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any Shares are deposited which (i) entitle the holders thereof to receive a per-share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or other entitlement in an amount different from the Shares then on deposit or (ii) are not fully fungible (including, without limitation, as to settlement or trading) with the Shares then on deposit (the Shares then on deposit collectively, “</w:t>
      </w:r>
      <w:r>
        <w:rPr>
          <w:rFonts w:ascii="Times New Roman" w:cs="Times New Roman" w:eastAsia="Times New Roman" w:hAnsi="Times New Roman"/>
          <w:sz w:val="18"/>
          <w:szCs w:val="18"/>
          <w:u w:val="single" w:color="auto"/>
          <w:color w:val="auto"/>
        </w:rPr>
        <w:t>Full Entitlement Shares</w:t>
      </w:r>
      <w:r>
        <w:rPr>
          <w:rFonts w:ascii="Times New Roman" w:cs="Times New Roman" w:eastAsia="Times New Roman" w:hAnsi="Times New Roman"/>
          <w:sz w:val="18"/>
          <w:szCs w:val="18"/>
          <w:color w:val="auto"/>
        </w:rPr>
        <w:t>” and the Shares with different entitlement, “</w:t>
      </w:r>
      <w:r>
        <w:rPr>
          <w:rFonts w:ascii="Times New Roman" w:cs="Times New Roman" w:eastAsia="Times New Roman" w:hAnsi="Times New Roman"/>
          <w:sz w:val="18"/>
          <w:szCs w:val="18"/>
          <w:u w:val="single" w:color="auto"/>
          <w:color w:val="auto"/>
        </w:rPr>
        <w:t>Partial Entitlement Shares</w:t>
      </w:r>
      <w:r>
        <w:rPr>
          <w:rFonts w:ascii="Times New Roman" w:cs="Times New Roman" w:eastAsia="Times New Roman" w:hAnsi="Times New Roman"/>
          <w:sz w:val="18"/>
          <w:szCs w:val="18"/>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Times New Roman" w:cs="Times New Roman" w:eastAsia="Times New Roman" w:hAnsi="Times New Roman"/>
          <w:sz w:val="18"/>
          <w:szCs w:val="18"/>
          <w:u w:val="single" w:color="auto"/>
          <w:color w:val="auto"/>
        </w:rPr>
        <w:t>Partial Entitlement ADSs/ADRs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Full Entitlement ADSs/ADRs</w:t>
      </w:r>
      <w:r>
        <w:rPr>
          <w:rFonts w:ascii="Times New Roman" w:cs="Times New Roman" w:eastAsia="Times New Roman" w:hAnsi="Times New Roman"/>
          <w:sz w:val="18"/>
          <w:szCs w:val="18"/>
          <w:color w:val="auto"/>
        </w:rPr>
        <w:t>”,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w:t>
      </w:r>
    </w:p>
    <w:p>
      <w:pPr>
        <w:spacing w:after="0" w:line="3" w:lineRule="exact"/>
        <w:rPr>
          <w:sz w:val="20"/>
          <w:szCs w:val="20"/>
          <w:color w:val="auto"/>
        </w:rPr>
      </w:pPr>
    </w:p>
    <w:p>
      <w:pPr>
        <w:jc w:val="both"/>
        <w:ind w:firstLine="8"/>
        <w:spacing w:after="0" w:line="251" w:lineRule="auto"/>
        <w:tabs>
          <w:tab w:leader="none" w:pos="25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18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2.13 </w:t>
      </w:r>
      <w:r>
        <w:rPr>
          <w:rFonts w:ascii="Times New Roman" w:cs="Times New Roman" w:eastAsia="Times New Roman" w:hAnsi="Times New Roman"/>
          <w:sz w:val="18"/>
          <w:szCs w:val="18"/>
          <w:b w:val="1"/>
          <w:bCs w:val="1"/>
          <w:u w:val="single" w:color="auto"/>
          <w:color w:val="auto"/>
        </w:rPr>
        <w:t>Certificated/Uncertificated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the Depositary may,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from time to time, issue ADSs that are not evidenced by ADRs (such ADSs, the “</w:t>
      </w:r>
      <w:r>
        <w:rPr>
          <w:rFonts w:ascii="Times New Roman" w:cs="Times New Roman" w:eastAsia="Times New Roman" w:hAnsi="Times New Roman"/>
          <w:sz w:val="18"/>
          <w:szCs w:val="18"/>
          <w:u w:val="single" w:color="auto"/>
          <w:color w:val="auto"/>
        </w:rPr>
        <w:t>Uncertificated ADS(s)</w:t>
      </w:r>
      <w:r>
        <w:rPr>
          <w:rFonts w:ascii="Times New Roman" w:cs="Times New Roman" w:eastAsia="Times New Roman" w:hAnsi="Times New Roman"/>
          <w:sz w:val="18"/>
          <w:szCs w:val="18"/>
          <w:color w:val="auto"/>
        </w:rPr>
        <w:t>” and the ADS(s) evidenced by ADR(s), the “</w:t>
      </w:r>
      <w:r>
        <w:rPr>
          <w:rFonts w:ascii="Times New Roman" w:cs="Times New Roman" w:eastAsia="Times New Roman" w:hAnsi="Times New Roman"/>
          <w:sz w:val="18"/>
          <w:szCs w:val="18"/>
          <w:u w:val="single" w:color="auto"/>
          <w:color w:val="auto"/>
        </w:rPr>
        <w:t>Certificated ADS(s)</w:t>
      </w:r>
      <w:r>
        <w:rPr>
          <w:rFonts w:ascii="Times New Roman" w:cs="Times New Roman" w:eastAsia="Times New Roman" w:hAnsi="Times New Roman"/>
          <w:sz w:val="18"/>
          <w:szCs w:val="18"/>
          <w:color w:val="auto"/>
        </w:rPr>
        <w:t>”). When issuing and maintaining Uncertificated ADS(s) under the Deposit Agreement, the Depositary shall at all times be subject to</w:t>
      </w:r>
    </w:p>
    <w:p>
      <w:pPr>
        <w:jc w:val="both"/>
        <w:ind w:firstLine="8"/>
        <w:spacing w:after="0" w:line="251" w:lineRule="auto"/>
        <w:tabs>
          <w:tab w:leader="none" w:pos="25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the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9" w:name="page70"/>
    <w:bookmarkEnd w:id="69"/>
    <w:p>
      <w:pPr>
        <w:jc w:val="both"/>
        <w:spacing w:after="0" w:line="251" w:lineRule="auto"/>
        <w:rPr>
          <w:sz w:val="20"/>
          <w:szCs w:val="20"/>
          <w:color w:val="auto"/>
        </w:rPr>
      </w:pPr>
      <w:r>
        <w:rPr>
          <w:rFonts w:ascii="Times New Roman" w:cs="Times New Roman" w:eastAsia="Times New Roman" w:hAnsi="Times New Roman"/>
          <w:sz w:val="18"/>
          <w:szCs w:val="18"/>
          <w:color w:val="auto"/>
        </w:rPr>
        <w:t>Uncertificated ADSs shall in all material respects be identical to Certificated ADS(s) of the same type and class, except that (i) no ADR(s) shall be, or shall need to be, issued to evidence Uncertificated ADS(s), (ii) 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3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0" w:name="page71"/>
    <w:bookmarkEnd w:id="70"/>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2.14 </w:t>
      </w:r>
      <w:r>
        <w:rPr>
          <w:rFonts w:ascii="Times New Roman" w:cs="Times New Roman" w:eastAsia="Times New Roman" w:hAnsi="Times New Roman"/>
          <w:sz w:val="18"/>
          <w:szCs w:val="18"/>
          <w:b w:val="1"/>
          <w:bCs w:val="1"/>
          <w:u w:val="single" w:color="auto"/>
          <w:color w:val="auto"/>
        </w:rPr>
        <w:t>Restricted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the request and expense of the Company, establish procedures enabling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of Shares that are Restricted Securities in order to enable the holder of such Shares to hold its ownership interests in such Restricted Securities in the form of ADSs issued under the terms hereof (such Shares,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w:t>
      </w:r>
      <w:r>
        <w:rPr>
          <w:rFonts w:ascii="Times New Roman" w:cs="Times New Roman" w:eastAsia="Times New Roman" w:hAnsi="Times New Roman"/>
          <w:sz w:val="18"/>
          <w:szCs w:val="18"/>
          <w:u w:val="single" w:color="auto"/>
          <w:color w:val="auto"/>
        </w:rPr>
        <w:t>Restricted ADSs</w:t>
      </w:r>
      <w:r>
        <w:rPr>
          <w:rFonts w:ascii="Times New Roman" w:cs="Times New Roman" w:eastAsia="Times New Roman" w:hAnsi="Times New Roman"/>
          <w:sz w:val="18"/>
          <w:szCs w:val="18"/>
          <w:color w:val="auto"/>
        </w:rPr>
        <w:t>,” and the ADRs evidencing such Restricted ADSs, the “</w:t>
      </w:r>
      <w:r>
        <w:rPr>
          <w:rFonts w:ascii="Times New Roman" w:cs="Times New Roman" w:eastAsia="Times New Roman" w:hAnsi="Times New Roman"/>
          <w:sz w:val="18"/>
          <w:szCs w:val="18"/>
          <w:u w:val="single" w:color="auto"/>
          <w:color w:val="auto"/>
        </w:rPr>
        <w:t>Restricted ADRs</w:t>
      </w:r>
      <w:r>
        <w:rPr>
          <w:rFonts w:ascii="Times New Roman" w:cs="Times New Roman" w:eastAsia="Times New Roman" w:hAnsi="Times New Roman"/>
          <w:sz w:val="18"/>
          <w:szCs w:val="18"/>
          <w:color w:val="auto"/>
        </w:rPr>
        <w:t>”). Notwithstanding anything contained in this Section 2.14, the Depositary and the Company may, to the extent not prohibited by law, agree to issue the Restricted ADSs in uncertificated form (“</w:t>
      </w:r>
      <w:r>
        <w:rPr>
          <w:rFonts w:ascii="Times New Roman" w:cs="Times New Roman" w:eastAsia="Times New Roman" w:hAnsi="Times New Roman"/>
          <w:sz w:val="18"/>
          <w:szCs w:val="18"/>
          <w:u w:val="single" w:color="auto"/>
          <w:color w:val="auto"/>
        </w:rPr>
        <w:t>Uncertificated Restricted ADSs</w:t>
      </w:r>
      <w:r>
        <w:rPr>
          <w:rFonts w:ascii="Times New Roman" w:cs="Times New Roman" w:eastAsia="Times New Roman" w:hAnsi="Times New Roman"/>
          <w:sz w:val="18"/>
          <w:szCs w:val="18"/>
          <w:color w:val="auto"/>
        </w:rPr>
        <w:t>”) upon such terms and conditions as the Company and the Depositary may deem necessary and appropriate. The Company shall assist the Depositary in the establishment of such procedures and agrees that it shall take all steps necessary and reasonably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reasonably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3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1" w:name="page72"/>
    <w:bookmarkEnd w:id="7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the Restricted ADRs, the Restricted ADSs and the Restricted Shares cease to be Restricted Securities, the Depositary, upon receipt of (x) an opinion of counsel reasonably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the Restricted ADRs, the Restricted ADSs and the Restricted Shares are not as of such time Restricted Securities, and (y) instructions from the Company to remove the restrictions applicable to the Restricted ADRs, the Restricted ADSs and the Restricted Shares, shall (i) eliminate the distinctions and separations that may have been established between the applicable Restricted Shares held on deposit under this Section 2.14 and the other Shares held on deposit under the terms of the Deposit Agreement that are not Restricted Shares, (ii) 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OBLIGATIONS OF 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BENEFICIAL OWNERS OF ADSs</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and at the reasonable request of the Company, shall, to the extent practicable and subject to applicable law, withhold the execution or delivery or registration of transfer of any ADR or ADS or the distribution or sale of any dividend or distribution of rights or of the proceeds thereof or, to the extent not limited by the terms of Section 7.8(a),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2" w:name="page73"/>
    <w:bookmarkEnd w:id="72"/>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thereby to represent and warrant that (i) such Shares and the certificates therefor are duly authorized, validly allotted and issued, fully paid, not subject to any call for the payment of further capital and legally obtained by such person, (ii) all preemptive (and similar) rights, if any, with respect to such Shares have been validly waived, disapplied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(vi) the Shares presented for deposit have not been stripped of any rights or entitlements and (vii) the deposit of the Shares does not violate any applicable provisions of English law.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3" w:name="page74"/>
    <w:bookmarkEnd w:id="73"/>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any ADR(s),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and Beneficial Owner agrees to comply with requests from the Company pursuant to applicable law, the rules and requirements of any stock exchange on which the Shares or ADSs are, or will be, registered, traded or listed or the Articles of Association of the Company,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in the Deposit Agreement or any ADR, the Company may restrict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(if required) the Articles of Association of the Company. Nothing herein shall be interpreted as obligating the Depositary or the Company to ensure compliance with the ownership restrictions described in this Section 3.5.</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Notwithstanding any provision of the Deposit Agreement or of the ADRs and without limiting the foregoing, by being a Holder or Beneficial Owner of an ADS, each such Holder and Beneficial Owner agrees to provide such information as the Company may request in a disclosure notice (a “</w:t>
      </w:r>
      <w:r>
        <w:rPr>
          <w:rFonts w:ascii="Times New Roman" w:cs="Times New Roman" w:eastAsia="Times New Roman" w:hAnsi="Times New Roman"/>
          <w:sz w:val="18"/>
          <w:szCs w:val="18"/>
          <w:u w:val="single" w:color="auto"/>
          <w:color w:val="auto"/>
        </w:rPr>
        <w:t>Disclosure Notice</w:t>
      </w:r>
      <w:r>
        <w:rPr>
          <w:rFonts w:ascii="Times New Roman" w:cs="Times New Roman" w:eastAsia="Times New Roman" w:hAnsi="Times New Roman"/>
          <w:sz w:val="18"/>
          <w:szCs w:val="18"/>
          <w:color w:val="auto"/>
        </w:rPr>
        <w:t>”) given pursuant to the U.K. Companies Act 2006 (as amended from time to time and including any statutory modification or re-enactment thereof, the “</w:t>
      </w:r>
      <w:r>
        <w:rPr>
          <w:rFonts w:ascii="Times New Roman" w:cs="Times New Roman" w:eastAsia="Times New Roman" w:hAnsi="Times New Roman"/>
          <w:sz w:val="18"/>
          <w:szCs w:val="18"/>
          <w:u w:val="single" w:color="auto"/>
          <w:color w:val="auto"/>
        </w:rPr>
        <w:t>Companies Act</w:t>
      </w:r>
      <w:r>
        <w:rPr>
          <w:rFonts w:ascii="Times New Roman" w:cs="Times New Roman" w:eastAsia="Times New Roman" w:hAnsi="Times New Roman"/>
          <w:sz w:val="18"/>
          <w:szCs w:val="18"/>
          <w:color w:val="auto"/>
        </w:rPr>
        <w:t xml:space="preserve">”) or the Articles of Association of the Company. By accepting or holding an ADS, each Holder and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the imposition of restrictions on the rights to receive dividends on and to transfer such Shares. In addition, by accepting or holding an ADR, each Holder and Beneficial Owner agrees to comply with the provisions of the DTRs, which as of the date of this Deposit Agreement provide,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a person must notify the Company of the percentage of its voting rights which such person holds as a shareholder or is deemed to hold through such person’s direct or indirect holding of certain financial instruments (as defined in the DTRs) (or a combination of such holdings) if the percentage of such voting rights (i) reaches, exceeds or falls below 3% and each 1% threshold thereafter up to 100% as a result of an acquisition or disposal of Shares or certain financial instruments, or (ii) reaches, exceeds or falls below such applicable thresholds as a result of events changing the breakdown of voting rights and on the basis of information disclosed by the Company in accordance with the DTRs. Such notification must be effected as soon as possible, but not later than two trading days after the date on which the Holder or Beneficial Owner (as the case may be) (a) learns of the acquisition or disposal or of the possibility of exercising voting rights, or on which, having regard to the circumstances, should have learned of it, regardless of the date on which the acquisition, disposal or possibility of exercising voting rights takes effect, or (b) is informed of the event mentioned in (ii) above.</w:t>
      </w:r>
    </w:p>
    <w:p>
      <w:pPr>
        <w:spacing w:after="0" w:line="2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4" w:name="page75"/>
    <w:bookmarkEnd w:id="7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reserves the right to instruct Holders and Beneficial Owners to deliver their ADSs for cancellation and withdrawal of the Deposited Securities so as to permit the Company to deal directly with the Holder and Beneficial Owner thereof as a holder of Shares and Holders agree to comply with such instructions. The Depositary agrees to cooperate with the Company in its efforts to inform Holders and Beneficial Owners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 or Beneficial Owner.</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 owners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DEPOSITED SECURITIES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Cash Distributions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of a cash dividend or other cash distribution in respect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Deposited Securities, the Company shall give notice thereof to the Depositary at least twenty (20)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record date applicable for determining the holders of Deposited Securities entitled to receive such distribution. Upon the timely receipt of such notice, the Depositary shall establish an ADS Record Date upon the terms described in Section 4.9. Upon receipt of confirmation of the receipt of (x) any cash dividend or other cash distribution on any Deposited Securities, or (y) proceeds from the sale of any Deposited Property held in respect of the ADSs under the terms hereof, the Depositary will (i) if any amounts are received in a Foreign Currency, promptly convert or cause to be converted such cash dividend, distribution or proceeds into Dollars (on the terms described in Section 4.8), (ii) if applicable and unless previously established, establish the ADS Record Date upon the terms described in Section 4.9, and (iii) distribute promptly the amount thus received (net of (a) the applicable fees and charges set forth in the Fee Schedule attached hereto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and (b) applicable taxes required to be withheld as a result of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6" w:name="page77"/>
    <w:bookmarkEnd w:id="76"/>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Distribution in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that consists of a dividend in, or free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the Company shall give notice thereof to the Depositary at least twenty (20)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w:t>
      </w:r>
    </w:p>
    <w:p>
      <w:pPr>
        <w:spacing w:after="0" w:line="5" w:lineRule="exact"/>
        <w:rPr>
          <w:sz w:val="20"/>
          <w:szCs w:val="20"/>
          <w:color w:val="auto"/>
        </w:rPr>
      </w:pPr>
    </w:p>
    <w:p>
      <w:pPr>
        <w:jc w:val="both"/>
        <w:ind w:firstLine="8"/>
        <w:spacing w:after="0" w:line="251" w:lineRule="auto"/>
        <w:tabs>
          <w:tab w:leader="none" w:pos="27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taxes required to be withheld),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after consultation with the Company to the extent reasonably practicable,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Elective Distributions in Cash or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payable at the election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holders of Deposited Securities in cash or in additional Shares, the Company shall give notice thereof to the Depositary at least forty-five (45)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England and Wales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Distribution of Rights to Purchase Additional ADSs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52" w:lineRule="auto"/>
        <w:tabs>
          <w:tab w:leader="none" w:pos="948"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Distribution to ADS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distribute to the holders of the Deposited Securities rights to subscribe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additional Shares, the Company shall give notice thereof to the Depositary at least forty-five (45)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194"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106"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Sale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(i) the Company does not timely request the Depositary to make the rights available to Holders or requests that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8" w:name="page79"/>
    <w:bookmarkEnd w:id="78"/>
    <w:p>
      <w:pPr>
        <w:ind w:firstLine="656"/>
        <w:spacing w:after="0" w:line="286" w:lineRule="auto"/>
        <w:tabs>
          <w:tab w:leader="none" w:pos="937"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Lapse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Depositary is unable to make any rights available to Holders upon the terms described in Section 4.4(a) or to arrange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sale of the rights upon the terms described in Section 4.4(b), the Depositary shall allow such rights to lapse.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reasonably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9" w:name="page80"/>
    <w:bookmarkEnd w:id="7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Distributions Other Than Cash, Shares or Rights to Purchase Shares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56"/>
        <w:spacing w:after="0" w:line="255" w:lineRule="auto"/>
        <w:tabs>
          <w:tab w:leader="none" w:pos="975"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106"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0" w:name="page81"/>
    <w:bookmarkEnd w:id="80"/>
    <w:p>
      <w:pPr>
        <w:jc w:val="both"/>
        <w:ind w:firstLine="656"/>
        <w:spacing w:after="0" w:line="255" w:lineRule="auto"/>
        <w:tabs>
          <w:tab w:leader="none" w:pos="991" w:val="left"/>
        </w:tabs>
        <w:numPr>
          <w:ilvl w:val="1"/>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w:t>
      </w:r>
    </w:p>
    <w:p>
      <w:pPr>
        <w:spacing w:after="0" w:line="2"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29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proceeds of such conversion received by the Depositary (net of applicable (a) fees and charges of, and expenses incurred by, the Depositary and (b) 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185" w:lineRule="exact"/>
        <w:rPr>
          <w:rFonts w:ascii="Times New Roman" w:cs="Times New Roman" w:eastAsia="Times New Roman" w:hAnsi="Times New Roman"/>
          <w:sz w:val="18"/>
          <w:szCs w:val="18"/>
          <w:color w:val="auto"/>
        </w:rPr>
      </w:pPr>
    </w:p>
    <w:p>
      <w:pPr>
        <w:ind w:right="60" w:firstLine="656"/>
        <w:spacing w:after="0" w:line="266" w:lineRule="auto"/>
        <w:tabs>
          <w:tab w:leader="none" w:pos="1093"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72"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Distributions with Respect to Deposited Securities in Bearer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of this Article IV, distributions in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Company intends to exercise any right of redemption in respect of any of the Deposited Securities,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give notice thereof to the Depositary at least forty-five (45)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and only if after consultation between the Depositary and the Company,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after consultation with the Company.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applicable taxes) multiplied by the number of Deposited Securities represented by each ADS redeemed.</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1" w:name="page82"/>
    <w:bookmarkEnd w:id="8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to the contrary, in the event the Company fails to give the Depositary timely notice of the proposed redemption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Conversion of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or the Custodian shall receive Foreign Currency, by way of dividends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other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determine, such Foreign Currency into Dollars, and shall distribute such Dollars (net of the fees and charges set forth in the Fee Schedule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applicable taxes withheld) in accordance with the terms of the applicable sections of the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reasonable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2" w:name="page83"/>
    <w:bookmarkEnd w:id="82"/>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(a)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after consultation with the Company to the extent reasonably practicable, shall fix the record date (the “</w:t>
      </w:r>
      <w:r>
        <w:rPr>
          <w:rFonts w:ascii="Times New Roman" w:cs="Times New Roman" w:eastAsia="Times New Roman" w:hAnsi="Times New Roman"/>
          <w:sz w:val="18"/>
          <w:szCs w:val="18"/>
          <w:u w:val="single" w:color="auto"/>
          <w:color w:val="auto"/>
        </w:rPr>
        <w:t>ADS 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(or such lesser number of days as mutually agreed by the Company and the Depositary) prior to the date of such vote or meeting), at the Company’s expense and provided no U.S. legal prohibitions exist, distribute as soon as practicable after receipt thereof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and timing (such timing to be determined after consultation with the Company) in which such voting instructions may be given to the Depositary or in which voting instructions may be deemed to have been given in accordance with this Section 4.10 if no instructions are received prior to the deadline set for such purposes to the Depositary to give a discretionary proxy to a person designated by the Company.</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3" w:name="page84"/>
    <w:bookmarkEnd w:id="8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with the Company’s prior written consent, the Depositary may, to the extent not prohibited by law or regulations, or by the requirements of any stock exchange on which the ADSs may be listed, in lieu of distribution of the materials provided to the Depositary in connection with any meeting of, or solicitation of consents or proxies from, holders of Deposited Securities, distribute to the Holders a notice that provides Holders with, or otherwise publicize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Depositary has been advised by the Company that the Articles of Association (as in effect on the date hereof), voting at any meeting of shareholders of the Company is by show of hands unless (before or immediately following the declaration of the result of the show of hands) a poll is demanded or the Company elects to proceed with the voting by a poll. The Depositary will not join in demanding a poll, whether or not requested to do so by Holders of ADSs. Under the Articles of Association (as in effect on the date hereof) a poll may be demanded by (i) the chairman of the meeting; (ii) not less than five shareholders present in person or by proxy and entitled to vote on the resolution; (iii) by any shareholder or shareholders of the Company present in person (or by proxy), representing in aggregate not less than 10 per cent of the total voting rights of all the shareholders having the right to vote on the resolution (excluding any voting rights attached to any shares held as treasury shares); or (iv) by any shareholder or shareholders of the Company present in person (or by proxy), in each case, holding shares conferring a right to vote on the resolution, being shares on which an aggregate sum has been paid up equal to not less than 10 per cent of the total sum paid up on all the shares conferring that right (excluding shares held as treasury shares).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any applicable law, the provisions of the Deposit Agreement, the Articles of Association of the Company and the provisions of the Deposited Securities, to vote, or cause the Custodian to vote, the Deposited Securities (in person or by proxy) represented by such Holder’s ADSs as follows: (i) in the event voting takes place at a shareholders’ meeting by a show of hands, the Depositary will instruct the Custodian to vote all Deposited Securities in accordance with the voting instructions received from a majority of Holders of ADSs who provided voting instructions, and</w:t>
      </w:r>
    </w:p>
    <w:p>
      <w:pPr>
        <w:spacing w:after="0" w:line="5" w:lineRule="exact"/>
        <w:rPr>
          <w:sz w:val="20"/>
          <w:szCs w:val="20"/>
          <w:color w:val="auto"/>
        </w:rPr>
      </w:pPr>
    </w:p>
    <w:p>
      <w:pPr>
        <w:jc w:val="both"/>
        <w:ind w:firstLine="8"/>
        <w:spacing w:after="0" w:line="252" w:lineRule="auto"/>
        <w:tabs>
          <w:tab w:leader="none" w:pos="29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voting takes place at a shareholders’ meeting by poll, the Depositary will instruct the Custodian to vote the Deposited Securities in accordance with the voting instructions received from the Holders of ADSs. If voting is by poll and the Depositary does not receive voting instructions from a Holder as of the ADS Record Date on or before the date established by the Depositary for such purpose, such Holder shall be deemed, and the Depositary shall (unless otherwise specified in the notice)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4" w:name="page85"/>
    <w:bookmarkEnd w:id="8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contemplated in this Section 4.10).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contained in the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requested to be taken if so reasonably requested by the Depositary.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Changes Affecting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change in nominal or par value, split-up, cancellation, consolidation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w:t>
      </w:r>
    </w:p>
    <w:p>
      <w:pPr>
        <w:jc w:val="both"/>
        <w:ind w:firstLine="8"/>
        <w:spacing w:after="0" w:line="251" w:lineRule="auto"/>
        <w:tabs>
          <w:tab w:leader="none" w:pos="26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applicable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5" w:name="page86"/>
    <w:bookmarkEnd w:id="85"/>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b w:val="1"/>
          <w:bCs w:val="1"/>
          <w:u w:val="single" w:color="auto"/>
          <w:color w:val="auto"/>
        </w:rPr>
        <w:t>Available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 the Exchange Act and, accordingly,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make available for inspection by Holders at its Principal Office, as promptly as practicable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thereof,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b w:val="1"/>
          <w:bCs w:val="1"/>
          <w:u w:val="single" w:color="auto"/>
          <w:color w:val="auto"/>
        </w:rPr>
        <w:t>List of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upon written request by the Company, the Depositary shall furnish to it a list, as of a recent date,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names, addresses and holdings of ADSs of all Holders.</w:t>
      </w: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6" w:name="page87"/>
    <w:bookmarkEnd w:id="86"/>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b w:val="1"/>
          <w:bCs w:val="1"/>
          <w:u w:val="single" w:color="auto"/>
          <w:color w:val="auto"/>
        </w:rPr>
        <w:t>Taxation</w:t>
      </w:r>
      <w:r>
        <w:rPr>
          <w:rFonts w:ascii="Times New Roman" w:cs="Times New Roman" w:eastAsia="Times New Roman" w:hAnsi="Times New Roman"/>
          <w:sz w:val="18"/>
          <w:szCs w:val="18"/>
          <w:color w:val="auto"/>
        </w:rPr>
        <w:t>. The Depositary will, and will instruct the Custodian to, forward to the Company or its agents such information from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for that Holder or Beneficial Owner which is required to be paid to such governmental authority.</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the Company (or any of its agents) withholds from any distribution any amount on account of taxes or governmental charges, or pays any other tax in respect of such distribution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stamp duty tax, capital gains or other similar tax), the Company shall use its commercially reasonable efforts to (and shall cause such agent to) remit promptly to the Depositary information about such taxes or governmental charges withheld or paid, and, if so requested, the tax receipt (or other proof of payment to the applicable governmental authority) therefor, in each case, in a form reasonably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Depositary is under no obligation to provide the Holders and Beneficial Owners with any information about the tax status of the Company, except to the extent that the Company provides such information to the Depositary for distribution to the Holders and Beneficial Owners.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7" w:name="page88"/>
    <w:bookmarkEnd w:id="8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DEPOSITARY, THE CUSTODIAN AND THE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Maintenance of Office and Transfer Books by the 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termination of the Deposit Agreement in accordance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7.8(a).</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ADSs are listed on one or more stock exchanges or automated quotation systems in the United States, the Depositary shall act as Registrar or, with written notice given as promptly as practicable to the Company, appoint a Registrar or one or more co-registrars for registration of issuances, cancellations, transfers, combinations and split-ups of ADSs and, if applicable, to countersign ADRs evidencing the ADSs so issued, transferred, combined or split-up, in accordance with any requirements of such exchanges or systems. Such Registrar or co-registrars may be removed and a substitute or substitutes appointed by the Depositary with written notice given as promptly as practicable to the Company.</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obligated to do or perform any act or thing which is inconsistent with the provisions of the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w:t>
      </w:r>
    </w:p>
    <w:p>
      <w:pPr>
        <w:spacing w:after="0" w:line="1" w:lineRule="exact"/>
        <w:rPr>
          <w:sz w:val="20"/>
          <w:szCs w:val="20"/>
          <w:color w:val="auto"/>
        </w:rPr>
      </w:pPr>
    </w:p>
    <w:p>
      <w:pPr>
        <w:jc w:val="both"/>
        <w:ind w:firstLine="8"/>
        <w:spacing w:after="0" w:line="253" w:lineRule="auto"/>
        <w:tabs>
          <w:tab w:leader="none" w:pos="30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Deposit Agreement.</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8" w:name="page89"/>
    <w:bookmarkEnd w:id="8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its controlling persons, its agents, any Custodian and the Company, its controlling persons and its agents may rely and shall be protected in acting upon any written notice, request or other document reasonably believed by it to be genuine and to have been signed or presented by the proper party or parties.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reasonable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 for the Company.</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9" w:name="page90"/>
    <w:bookmarkEnd w:id="89"/>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 may at any time be removed by the Company by written notice of such removal, which removal shall be effective on the later of</w:t>
      </w:r>
    </w:p>
    <w:p>
      <w:pPr>
        <w:spacing w:after="0" w:line="27" w:lineRule="exact"/>
        <w:rPr>
          <w:sz w:val="20"/>
          <w:szCs w:val="20"/>
          <w:color w:val="auto"/>
        </w:rPr>
      </w:pPr>
    </w:p>
    <w:p>
      <w:pPr>
        <w:ind w:left="240" w:hanging="232"/>
        <w:spacing w:after="0"/>
        <w:tabs>
          <w:tab w:leader="none" w:pos="2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after delivery thereof to the Depositary (whereupon the Depositary shall be entitled to take the actions contemplated in Section 6.2), or</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appointment by the Company of a successor depositary and its acceptance of such appointment as hereinafter provided.</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entity into or with which the Depositary may be merged or consolidated shall be the successor of the Depositary without the execution or filing of any document or any further act.</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0" w:name="page91"/>
    <w:bookmarkEnd w:id="90"/>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The 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has initially appointed Citibank, N.A. (London) as Custodian for the purpose of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Custodian or its successors in acting hereunder shall be authorized to act as custodian in England and Wales and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Citibank may at any time act as Custodian of the Deposited Property pursuant to the Deposit Agreement, in which case any reference to Custodian shall mean Citibank solely in its capacity as Custodian pursuant to the Deposit Agreement and the Depositary shall promptly give notice thereof to the Company. Notwithstanding anything contained in the Deposit Agreement or any ADR, the Depositary shall not be obligated to give notice to any Holders of ADSs or any other Custodian of its acting as Custodian pursuant to the Deposit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Notices and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before the first date on which the Company gives notice, by publication or otherwise, of any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1" w:name="page92"/>
    <w:bookmarkEnd w:id="9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provisions of or governing the Shares and any other Deposited Securities issued by the Company in connection with such Shares, and promptly upon any amendment thereto or change therein, the Company shall deliver to the Depositary and the Custodian a copy of such amendment thereto or change therein to the extent such amendment or change is not available on the Company’s website or is not otherwise publicly available. The Depositary may rely upon such copy for all purposes of the Deposit Agreement.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Issuance of Additional Shares, ADSs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that in the event it or any of its Affiliates proposes (i) an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 (1) requires a registration statement under the Securities Act to be in effect or (2) is exempt from the registration requirements of the Securities Act and (b) an opinion of English counsel stating that (1) making the transaction available to Holders and Beneficial Owners does not violate the laws or regulations of England and Wales and (2) all requisite regulatory consents and approvals have been obtained in England and Wales.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nothing in the Deposit Agreement shall be deemed to obligate the Company to file any registration statement in respect of any proposed transaction.</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2" w:name="page93"/>
    <w:bookmarkEnd w:id="92"/>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agrees to indemnify the Company and its directors, officers, employees, agents and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to the extent it is not unlawful for the Company to indemnify such person at such time under applicable English law,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fraud, negligence or bad faith of any of them, or (ii) by the Company or any of its directors, officers, employees, agents and Affiliates; provided. However, that the Company shall not be liable for any fees, charges or expenses payable by third party Holders or Beneficial Owners under this Deposit Agreement. The Company shall not indemnify the Depositary or the Custodian (for so long as the Custodian is a branch of Citibank, N.A.) against any liability or expense arising out of information relating to the Depositary or such Custodian, as the case may be, furnished in a signed writing to the Company, executed by the Depositary expressly for use in any registration statement, prospectus or preliminary prospectus relating to any Deposited Securities represented by the ADSs.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set forth in this Section shall survive the termination of the Deposit Agreement and the succession or substitution of any party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3" w:name="page94"/>
    <w:bookmarkEnd w:id="93"/>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color w:val="auto"/>
        </w:rPr>
        <w:t>. The Company, the Holders, the Beneficial Owners, persons depositing Shares or withdrawing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in connection with the issuance and cancellation of ADSs, and persons receiving ADSs upon issuance or for whom ADSs are being cancelled shall be required to pay the Depositary’s fees and related charges identified as payable by them respectively in the Fee Schedule attached hereto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will be payable by the person for whom the ADSs are so issued by the Depositary (in the case of ADS issuances) and by the person whose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Deposit Agreement. As to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upon the resignation or removal of such Depositary as described in Section 5.4, the right to collect ADS fees and charges shall extend for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 fees and charges incurred prior to the effectiveness of such resignation or removal.</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Restricted Securities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to advise in writing each of the persons or entities who, to the knowledge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Section 6.1 and applicable law, the ADRs outstanding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5" w:name="page96"/>
    <w:bookmarkEnd w:id="95"/>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distributing 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w:t>
      </w:r>
    </w:p>
    <w:p>
      <w:pPr>
        <w:jc w:val="both"/>
        <w:ind w:firstLine="8"/>
        <w:spacing w:after="0" w:line="252" w:lineRule="auto"/>
        <w:tabs>
          <w:tab w:leader="none" w:pos="27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6" w:name="page97"/>
    <w:bookmarkEnd w:id="9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may be executed in any number of counterparts, each of which shall be deemed an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of such counterparts together shall constitute one and the same agreement. Copies of the Deposit Agreement shall be maintained with the Depositary and shall be open to inspection by any Holder during business hours.</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No Third-Party Beneficiaries/Acknowledgments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is for the exclusive benefit of the parties hereto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United States, England,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9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one or more of the provisions contained in the Deposit Agreement or in the ADRs should be or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illegal or unenforceable in any respect, the validity, legality and enforceability of the remaining provisions contained herein or therein shall in no way be affected, prejudiced or disturbed thereby.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7.4 </w:t>
      </w:r>
      <w:r>
        <w:rPr>
          <w:rFonts w:ascii="Times New Roman" w:cs="Times New Roman" w:eastAsia="Times New Roman" w:hAnsi="Times New Roman"/>
          <w:sz w:val="18"/>
          <w:szCs w:val="18"/>
          <w:b w:val="1"/>
          <w:bCs w:val="1"/>
          <w:u w:val="single" w:color="auto"/>
          <w:color w:val="auto"/>
        </w:rPr>
        <w:t>Holders and Beneficial Owners as Parties; 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and Beneficial Owners from time to time of ADSs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shall be parties to the Deposit Agreement and shall be bound by all of the terms and conditions hereof and of any ADR evidencing their ADSs by acceptance thereof or any beneficial interest therein.</w:t>
      </w:r>
    </w:p>
    <w:p>
      <w:pPr>
        <w:spacing w:after="0" w:line="2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8" w:name="page99"/>
    <w:bookmarkEnd w:id="98"/>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and all notices to be given to the Company shall be deemed to have been duly given if personally delivered or sent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mail, air courier or cable, telex or facsimile transmission, confirmed by letter personally delivered or sent by mail or air courier, addressed to PureTech</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Health plc, 20 Farringdon Street,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London EC4A 4AB, United Kingdom, </w:t>
      </w: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Stephen Muniz, Chief Operating Officer, with a copy to PureTech Health plc, Labs and Corporate Offices</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6 Tide Street, Suite 400, Boston, MA 02210, USA, </w:t>
      </w: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Stephen Muniz, Chief Operating Officer or to any other address which the Company may specify in writing to the Depositary.</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Depositary Receipts Department, or to any other address which the Depositary may specify in writing to the Company.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Any and all notices to be given to any Holder shall be deemed to have been duly given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the ADSs in their DTC accounts and to the Beneficial Owners of such ADSs.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9" w:name="page100"/>
    <w:bookmarkEnd w:id="99"/>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7.6 </w:t>
      </w:r>
      <w:r>
        <w:rPr>
          <w:rFonts w:ascii="Times New Roman" w:cs="Times New Roman" w:eastAsia="Times New Roman" w:hAnsi="Times New Roman"/>
          <w:sz w:val="18"/>
          <w:szCs w:val="18"/>
          <w:b w:val="1"/>
          <w:bCs w:val="1"/>
          <w:u w:val="single" w:color="auto"/>
          <w:color w:val="auto"/>
        </w:rPr>
        <w:t>Governing Law and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the ADRs and the ADSs shall be interpreted in accordance with,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hereunder and thereunder and provisions hereof and thereof shall be governed by, the laws of the State of New York applicable to contracts made and to be wholly performed in that State. Notwithstanding anything contained in the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and, for such purposes, each irrevocably submits to the non-exclusive jurisdiction of such courts. The Company hereby irrevocably designates, appoints and empowers PureTech Health LLC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now at 6 Tide Street, Suite 400, Boston, MA 02210,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Depositary and the Company unconditionally agree that in the event that a Holder or Beneficial Owner brings a suit, action or proceeding against (a) 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0" w:name="page101"/>
    <w:bookmarkEnd w:id="10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Section 7.6 shall survive any termination of the Deposit Agreement, in whole or in part.</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7.7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5.4, the Deposit Agreement may not be assigned by either the Company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7.8 </w:t>
      </w:r>
      <w:r>
        <w:rPr>
          <w:rFonts w:ascii="Times New Roman" w:cs="Times New Roman" w:eastAsia="Times New Roman" w:hAnsi="Times New Roman"/>
          <w:sz w:val="18"/>
          <w:szCs w:val="18"/>
          <w:b w:val="1"/>
          <w:bCs w:val="1"/>
          <w:u w:val="single" w:color="auto"/>
          <w:color w:val="auto"/>
        </w:rPr>
        <w:t>Compliance with, and No Disclaimer under, U.S. Securities Laws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56"/>
        <w:spacing w:after="0" w:line="266" w:lineRule="auto"/>
        <w:tabs>
          <w:tab w:leader="none" w:pos="1245"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5"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133"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7.9 </w:t>
      </w:r>
      <w:r>
        <w:rPr>
          <w:rFonts w:ascii="Times New Roman" w:cs="Times New Roman" w:eastAsia="Times New Roman" w:hAnsi="Times New Roman"/>
          <w:sz w:val="18"/>
          <w:szCs w:val="18"/>
          <w:b w:val="1"/>
          <w:bCs w:val="1"/>
          <w:u w:val="single" w:color="auto"/>
          <w:color w:val="auto"/>
        </w:rPr>
        <w:t>English Law References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summary of English laws and regulations and of the terms of the Company’s Articles of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Company’s Articles of Association may change after the date of the Deposit Agreement. Neither the Depositary nor the Company has any obligation under the terms of the Deposit Agreement to update any such summaries.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7.10 </w:t>
      </w:r>
      <w:r>
        <w:rPr>
          <w:rFonts w:ascii="Times New Roman" w:cs="Times New Roman" w:eastAsia="Times New Roman" w:hAnsi="Times New Roman"/>
          <w:sz w:val="18"/>
          <w:szCs w:val="18"/>
          <w:b w:val="1"/>
          <w:bCs w:val="1"/>
          <w:u w:val="single" w:color="auto"/>
          <w:color w:val="auto"/>
        </w:rPr>
        <w:t>Titles and References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54" w:lineRule="auto"/>
        <w:tabs>
          <w:tab w:leader="none" w:pos="111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references in the Deposit Agreement to exhibits, articles, sections, subsections, and other subdivisions refer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ADRs, ADSs or Deposited Property as in effect at the relevant time of determination, unless otherwise required by law or regulation.</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1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references in any ADR(s) to paragraphs, exhibits, articles, sections, subsections, and other subdivisions refer to the paragraphs,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p>
    <w:p>
      <w:pPr>
        <w:spacing w:after="0" w:line="3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2" w:name="page103"/>
    <w:bookmarkEnd w:id="10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WITNESS WHEREOF, PURETECH HEALTH PLC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7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Muniz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Stephen Muniz</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Leslie DeLuca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Leslie DeLuca</w:t>
      </w:r>
    </w:p>
    <w:p>
      <w:pPr>
        <w:spacing w:after="0" w:line="2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ADR]</w:t>
      </w:r>
    </w:p>
    <w:p>
      <w:pPr>
        <w:sectPr>
          <w:pgSz w:w="11900" w:h="16838" w:orient="portrait"/>
          <w:cols w:equalWidth="0" w:num="1">
            <w:col w:w="11240"/>
          </w:cols>
          <w:pgMar w:left="320" w:top="792"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NUMBER: _______</w:t>
      </w:r>
    </w:p>
    <w:p>
      <w:pPr>
        <w:spacing w:after="0" w:line="27" w:lineRule="exact"/>
        <w:rPr>
          <w:sz w:val="20"/>
          <w:szCs w:val="20"/>
          <w:color w:val="auto"/>
        </w:rPr>
      </w:pPr>
    </w:p>
    <w:p>
      <w:pPr>
        <w:sectPr>
          <w:pgSz w:w="11900" w:h="16838" w:orient="portrait"/>
          <w:cols w:equalWidth="0" w:num="2">
            <w:col w:w="8420" w:space="720"/>
            <w:col w:w="2100"/>
          </w:cols>
          <w:pgMar w:left="320" w:top="79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American Depositary Shares (each American</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Depositary Share representing the right to</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receive ten (10) fully paid ordinary shares)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RECEIPT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DEPOSITED ORDINARY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England and Wales)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CITIBANK, N.A., a national banking association organized and existing under the laws of the United States of America, as depositary (the “Depositary”), hereby certifies that _____________is the owner of ______________ American Depositary Shares (hereinafter “ADS”) representing</w:t>
      </w:r>
    </w:p>
    <w:p>
      <w:pPr>
        <w:spacing w:after="0" w:line="250" w:lineRule="auto"/>
        <w:rPr>
          <w:sz w:val="20"/>
          <w:szCs w:val="20"/>
          <w:color w:val="auto"/>
        </w:rPr>
      </w:pPr>
      <w:r>
        <w:rPr>
          <w:rFonts w:ascii="Times New Roman" w:cs="Times New Roman" w:eastAsia="Times New Roman" w:hAnsi="Times New Roman"/>
          <w:sz w:val="18"/>
          <w:szCs w:val="18"/>
          <w:color w:val="auto"/>
        </w:rPr>
        <w:t>deposited ordinary shares, including evidence of rights to receive such ordinary shares (the “Shares”), of PureTech Health plc, a public limited company incorporated under the laws of England and Wales (the “Company”). As of the date of issuance of this ADR, each ADS represents the right to receive ten</w:t>
      </w:r>
    </w:p>
    <w:p>
      <w:pPr>
        <w:spacing w:after="0" w:line="1" w:lineRule="exact"/>
        <w:rPr>
          <w:sz w:val="20"/>
          <w:szCs w:val="20"/>
          <w:color w:val="auto"/>
        </w:rPr>
      </w:pPr>
    </w:p>
    <w:p>
      <w:pPr>
        <w:jc w:val="both"/>
        <w:ind w:firstLine="8"/>
        <w:spacing w:after="0" w:line="255" w:lineRule="auto"/>
        <w:tabs>
          <w:tab w:leader="none" w:pos="34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deposited under the Deposit Agreement (as hereinafter defined) with the Custodian, which at the date of issuance of this ADR is Citibank, N.A. (London) (the “Custodian”). The ADS(s)-to-Share(s) ratio is subject to amendment as provided in Articles IV and VI of the Deposit Agreement. The Depositary’s Principal Office is located at 388 Greenwich Street, New York, New York 10013, U.S.A.</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04" w:name="page105"/>
    <w:bookmarkEnd w:id="104"/>
    <w:p>
      <w:pPr>
        <w:jc w:val="both"/>
        <w:ind w:firstLine="656"/>
        <w:spacing w:after="0" w:line="253" w:lineRule="auto"/>
        <w:tabs>
          <w:tab w:leader="none" w:pos="948"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American Depositary Receipt is one of an issue of American Depositary Receipts (“ADRs”), all issued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issued upon the terms and conditions set forth in the Deposit Agreement, dated as of November 11, 2020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not defined herein shall have the meanings ascribed thereto in the Deposit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76" w:lineRule="exact"/>
        <w:rPr>
          <w:sz w:val="20"/>
          <w:szCs w:val="20"/>
          <w:color w:val="auto"/>
        </w:rPr>
      </w:pPr>
    </w:p>
    <w:p>
      <w:pPr>
        <w:jc w:val="both"/>
        <w:ind w:firstLine="656"/>
        <w:spacing w:after="0" w:line="253" w:lineRule="auto"/>
        <w:tabs>
          <w:tab w:leader="none" w:pos="948"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this ADR (and of the ADSs evidenced hereby) shall be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w:t>
      </w:r>
    </w:p>
    <w:p>
      <w:pPr>
        <w:spacing w:after="0" w:line="4"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32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5" w:name="page106"/>
    <w:bookmarkEnd w:id="10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Deposit Agreement, of this ADR evidencing the ADS so canceled, of the Articles of Association of the Company, of any applicable laws and of the rules of CREST, and to the terms and conditions of or governing the Deposited Securities, in each case as in effect at the time thereof.</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as a result of such sale) to the person surrendering the ADSs.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jc w:val="both"/>
        <w:ind w:firstLine="656"/>
        <w:spacing w:after="0" w:line="254" w:lineRule="auto"/>
        <w:tabs>
          <w:tab w:leader="none" w:pos="948"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Combination and Split-up of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transfer of this ADR (and of the ADSs represented hereby)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books 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this ADR, of the Deposit Agreement and of applicable law, in each case as in effect at the time thereof.</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6" w:name="page107"/>
    <w:bookmarkEnd w:id="10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w:t>
      </w:r>
    </w:p>
    <w:p>
      <w:pPr>
        <w:spacing w:after="0" w:line="3" w:lineRule="exact"/>
        <w:rPr>
          <w:sz w:val="20"/>
          <w:szCs w:val="20"/>
          <w:color w:val="auto"/>
        </w:rPr>
      </w:pPr>
    </w:p>
    <w:p>
      <w:pPr>
        <w:jc w:val="both"/>
        <w:ind w:firstLine="8"/>
        <w:spacing w:after="0" w:line="255" w:lineRule="auto"/>
        <w:tabs>
          <w:tab w:leader="none" w:pos="28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of the Deposit Agreement and of applicable law, in each case as in effect at the time thereof.</w:t>
      </w:r>
    </w:p>
    <w:p>
      <w:pPr>
        <w:spacing w:after="0" w:line="181" w:lineRule="exact"/>
        <w:rPr>
          <w:rFonts w:ascii="Times New Roman" w:cs="Times New Roman" w:eastAsia="Times New Roman" w:hAnsi="Times New Roman"/>
          <w:sz w:val="18"/>
          <w:szCs w:val="18"/>
          <w:color w:val="auto"/>
        </w:rPr>
      </w:pPr>
    </w:p>
    <w:p>
      <w:pPr>
        <w:jc w:val="both"/>
        <w:ind w:firstLine="656"/>
        <w:spacing w:after="0" w:line="254" w:lineRule="auto"/>
        <w:tabs>
          <w:tab w:leader="none" w:pos="948"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Pre-Conditions to Registration, Transfer,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 (a)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7" w:name="page108"/>
    <w:bookmarkEnd w:id="107"/>
    <w:p>
      <w:pPr>
        <w:jc w:val="both"/>
        <w:ind w:firstLine="656"/>
        <w:spacing w:after="0" w:line="255" w:lineRule="auto"/>
        <w:tabs>
          <w:tab w:leader="none" w:pos="975"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this ADR, each Holder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Beneficial Owner of the ADSs represented hereby agrees to comply with requests from the Company pursuant to applicable law, the rules and requirements of any stock exchange on which the Shares or ADSs are, or will be, registered, traded or listed, or the Articles of Association of the Company,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the Shares represented by such ADSs,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948"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contained in this ADR or of the Deposit Agreement, the Company may restrict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the mandatory sale or disposition on behalf of a Holder or Beneficial Owner of the Shares represented by the ADSs held by such Holder or Beneficial Owner in excess of such limitations, if and to the extent such disposition is permitted by applicable law and (if required)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 provision of the Deposit Agreement or of the ADRs and without limiting the foregoing, by being a Holder or Beneficial Owner of an ADS, each such Holder and Beneficial Owner agrees to provide such information as the Company may request in a disclosure notice (a “</w:t>
      </w:r>
      <w:r>
        <w:rPr>
          <w:rFonts w:ascii="Times New Roman" w:cs="Times New Roman" w:eastAsia="Times New Roman" w:hAnsi="Times New Roman"/>
          <w:sz w:val="18"/>
          <w:szCs w:val="18"/>
          <w:u w:val="single" w:color="auto"/>
          <w:color w:val="auto"/>
        </w:rPr>
        <w:t>Disclosure Notice</w:t>
      </w:r>
      <w:r>
        <w:rPr>
          <w:rFonts w:ascii="Times New Roman" w:cs="Times New Roman" w:eastAsia="Times New Roman" w:hAnsi="Times New Roman"/>
          <w:sz w:val="18"/>
          <w:szCs w:val="18"/>
          <w:color w:val="auto"/>
        </w:rPr>
        <w:t>”) given pursuant to the U.K. Companies Act 2006 (as amended from time to time and including any statutory modification or re-enactment thereof, the “</w:t>
      </w:r>
      <w:r>
        <w:rPr>
          <w:rFonts w:ascii="Times New Roman" w:cs="Times New Roman" w:eastAsia="Times New Roman" w:hAnsi="Times New Roman"/>
          <w:sz w:val="18"/>
          <w:szCs w:val="18"/>
          <w:u w:val="single" w:color="auto"/>
          <w:color w:val="auto"/>
        </w:rPr>
        <w:t>Companies Act</w:t>
      </w:r>
      <w:r>
        <w:rPr>
          <w:rFonts w:ascii="Times New Roman" w:cs="Times New Roman" w:eastAsia="Times New Roman" w:hAnsi="Times New Roman"/>
          <w:sz w:val="18"/>
          <w:szCs w:val="18"/>
          <w:color w:val="auto"/>
        </w:rPr>
        <w:t>”) or the Articles of Association of the Company. By accepting or holding an ADS, each Holder and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the imposition of restrictions on the rights to receive dividends on and to transfer such Shares.</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8" w:name="page109"/>
    <w:bookmarkEnd w:id="10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addition, by accepting or holding an ADR, each Holder and Beneficial Owner agrees to comply with the provisions of the DTRs, which as of the date of this Deposit Agreement provide,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a person must notify the Company of the percentage of its voting rights which such person holds as a shareholder or is deemed to hold through such person’s direct or indirect holding of certain financial instruments (as defined in the DTRs) (or a combination of such holdings) if the percentage of such voting rights (i) reaches, exceeds or falls below 3% and each 1% threshold thereafter up to 100% as a result of an acquisition or disposal of Shares or certain financial instruments, or (ii) reaches, exceeds or falls below such applicable thresholds as a result of events changing the breakdown of voting rights and on the basis of information disclosed by the Company in accordance with the DTRs. Such notification must be effected as soon as possible, but not later than two trading days after the date on which the Holder or Beneficial Owner (as the case may be) (a) learns of the acquisition or disposal or of the possibility of exercising voting rights, or on which, having regard to the circumstances, should have learned of it, regardless of the date on which the acquisition, disposal or possibility of exercising voting rights takes effect, or (b) is informed of the event mentioned in (ii) above.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reserves the right to instruct Holders and Beneficial Owners to deliver their ADSs for cancellation and withdrawal of the Deposited Securities so as to permit the Company to deal directly with the Holder and Beneficial Owner thereof as a holder of Shares and Holders agree to comply with such instructions. The Depositary agrees to cooperate with the Company in its efforts to inform Holders and Beneficial Owners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 or Beneficial Owner.</w:t>
      </w:r>
    </w:p>
    <w:p>
      <w:pPr>
        <w:spacing w:after="0" w:line="179" w:lineRule="exact"/>
        <w:rPr>
          <w:sz w:val="20"/>
          <w:szCs w:val="20"/>
          <w:color w:val="auto"/>
        </w:rPr>
      </w:pPr>
    </w:p>
    <w:p>
      <w:pPr>
        <w:jc w:val="both"/>
        <w:ind w:firstLine="656"/>
        <w:spacing w:after="0" w:line="256" w:lineRule="auto"/>
        <w:tabs>
          <w:tab w:leader="none" w:pos="961"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 owners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9" w:name="page110"/>
    <w:bookmarkEnd w:id="109"/>
    <w:p>
      <w:pPr>
        <w:jc w:val="both"/>
        <w:ind w:firstLine="656"/>
        <w:spacing w:after="0" w:line="253" w:lineRule="auto"/>
        <w:tabs>
          <w:tab w:leader="none" w:pos="948"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the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transactions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02"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to represent and warrant that (i) such Shares and the certificates therefor are duly authorized, validly allotted and issued, fully paid, not subject to any call for the payment of further capital and legally obtained by such person, (ii) all preemptive (and similar) rights, if any, with respect to such Shares have been validly waived, disapplied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and (vii) the deposit of the Shares does not violate any applicable provisions of English law.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0" w:name="page111"/>
    <w:bookmarkEnd w:id="110"/>
    <w:p>
      <w:pPr>
        <w:jc w:val="both"/>
        <w:ind w:firstLine="656"/>
        <w:spacing w:after="0" w:line="252" w:lineRule="auto"/>
        <w:tabs>
          <w:tab w:leader="none" w:pos="1078"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and at the reasonable request of the Company, shall, to the extent practicable and subject to applicable law, withhold the execution or delivery or registration of transfer of any ADR or ADS or the distribution or sale of any dividend or distribution of rights or of the proceeds thereof or, to the extent not limited by paragraph (25) and Section 7.8 (a) of the Deposit Agreement,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90" w:lineRule="exact"/>
        <w:rPr>
          <w:rFonts w:ascii="Times New Roman" w:cs="Times New Roman" w:eastAsia="Times New Roman" w:hAnsi="Times New Roman"/>
          <w:sz w:val="18"/>
          <w:szCs w:val="18"/>
          <w:b w:val="1"/>
          <w:bCs w:val="1"/>
          <w:color w:val="auto"/>
        </w:rPr>
      </w:pPr>
    </w:p>
    <w:p>
      <w:pPr>
        <w:ind w:left="1040" w:hanging="384"/>
        <w:spacing w:after="0"/>
        <w:tabs>
          <w:tab w:leader="none" w:pos="10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ADS fees are payable under the terms of the Deposit Agreement:</w:t>
      </w:r>
    </w:p>
    <w:p>
      <w:pPr>
        <w:spacing w:after="0" w:line="227" w:lineRule="exact"/>
        <w:rPr>
          <w:rFonts w:ascii="Times New Roman" w:cs="Times New Roman" w:eastAsia="Times New Roman" w:hAnsi="Times New Roman"/>
          <w:sz w:val="18"/>
          <w:szCs w:val="18"/>
          <w:b w:val="1"/>
          <w:bCs w:val="1"/>
          <w:color w:val="auto"/>
        </w:rPr>
      </w:pPr>
    </w:p>
    <w:p>
      <w:pPr>
        <w:jc w:val="both"/>
        <w:ind w:left="1960" w:hanging="656"/>
        <w:spacing w:after="0" w:line="267" w:lineRule="auto"/>
        <w:tabs>
          <w:tab w:leader="none" w:pos="196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ADS Issuance Fee</w:t>
      </w:r>
      <w:r>
        <w:rPr>
          <w:rFonts w:ascii="Times New Roman" w:cs="Times New Roman" w:eastAsia="Times New Roman" w:hAnsi="Times New Roman"/>
          <w:sz w:val="18"/>
          <w:szCs w:val="18"/>
          <w:color w:val="auto"/>
        </w:rPr>
        <w:t>: by any person for whom ADSs are issued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173" w:lineRule="exact"/>
        <w:rPr>
          <w:rFonts w:ascii="Times New Roman" w:cs="Times New Roman" w:eastAsia="Times New Roman" w:hAnsi="Times New Roman"/>
          <w:sz w:val="18"/>
          <w:szCs w:val="18"/>
          <w:b w:val="1"/>
          <w:bCs w:val="1"/>
          <w:color w:val="auto"/>
        </w:rPr>
      </w:pPr>
    </w:p>
    <w:p>
      <w:pPr>
        <w:jc w:val="both"/>
        <w:ind w:left="1960" w:hanging="656"/>
        <w:spacing w:after="0" w:line="267" w:lineRule="auto"/>
        <w:tabs>
          <w:tab w:leader="none" w:pos="196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ADS Cancellation Fee</w:t>
      </w:r>
      <w:r>
        <w:rPr>
          <w:rFonts w:ascii="Times New Roman" w:cs="Times New Roman" w:eastAsia="Times New Roman" w:hAnsi="Times New Roman"/>
          <w:sz w:val="18"/>
          <w:szCs w:val="18"/>
          <w:color w:val="auto"/>
        </w:rPr>
        <w:t>: by any person for whom ADSs are being cancelled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175" w:lineRule="exact"/>
        <w:rPr>
          <w:rFonts w:ascii="Times New Roman" w:cs="Times New Roman" w:eastAsia="Times New Roman" w:hAnsi="Times New Roman"/>
          <w:sz w:val="18"/>
          <w:szCs w:val="18"/>
          <w:b w:val="1"/>
          <w:bCs w:val="1"/>
          <w:color w:val="auto"/>
        </w:rPr>
      </w:pPr>
    </w:p>
    <w:p>
      <w:pPr>
        <w:ind w:left="1960" w:hanging="656"/>
        <w:spacing w:after="0" w:line="282" w:lineRule="auto"/>
        <w:tabs>
          <w:tab w:leader="none" w:pos="196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cash dividends or other cash 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 entitlements);</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1" w:name="page112"/>
    <w:bookmarkEnd w:id="111"/>
    <w:p>
      <w:pPr>
        <w:jc w:val="both"/>
        <w:ind w:left="1960" w:hanging="656"/>
        <w:spacing w:after="0" w:line="266" w:lineRule="auto"/>
        <w:tabs>
          <w:tab w:leader="none" w:pos="19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Stock Distribution /Rights Exercise Fee</w:t>
      </w:r>
      <w:r>
        <w:rPr>
          <w:rFonts w:ascii="Times New Roman" w:cs="Times New Roman" w:eastAsia="Times New Roman" w:hAnsi="Times New Roman"/>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75" w:lineRule="exact"/>
        <w:rPr>
          <w:rFonts w:ascii="Times New Roman" w:cs="Times New Roman" w:eastAsia="Times New Roman" w:hAnsi="Times New Roman"/>
          <w:sz w:val="18"/>
          <w:szCs w:val="18"/>
          <w:b w:val="1"/>
          <w:bCs w:val="1"/>
          <w:color w:val="auto"/>
        </w:rPr>
      </w:pPr>
    </w:p>
    <w:p>
      <w:pPr>
        <w:ind w:left="1960" w:hanging="656"/>
        <w:spacing w:after="0" w:line="282" w:lineRule="auto"/>
        <w:tabs>
          <w:tab w:leader="none" w:pos="19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securities other than ADSs or 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 shares);</w:t>
      </w:r>
    </w:p>
    <w:p>
      <w:pPr>
        <w:spacing w:after="0" w:line="161" w:lineRule="exact"/>
        <w:rPr>
          <w:rFonts w:ascii="Times New Roman" w:cs="Times New Roman" w:eastAsia="Times New Roman" w:hAnsi="Times New Roman"/>
          <w:sz w:val="18"/>
          <w:szCs w:val="18"/>
          <w:b w:val="1"/>
          <w:bCs w:val="1"/>
          <w:color w:val="auto"/>
        </w:rPr>
      </w:pPr>
    </w:p>
    <w:p>
      <w:pPr>
        <w:ind w:left="1960" w:hanging="656"/>
        <w:spacing w:after="0" w:line="282" w:lineRule="auto"/>
        <w:tabs>
          <w:tab w:leader="none" w:pos="19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Depositary Services Fee</w:t>
      </w:r>
      <w:r>
        <w:rPr>
          <w:rFonts w:ascii="Times New Roman" w:cs="Times New Roman" w:eastAsia="Times New Roman" w:hAnsi="Times New Roman"/>
          <w:sz w:val="18"/>
          <w:szCs w:val="18"/>
          <w:color w:val="auto"/>
        </w:rPr>
        <w:t>: by any Holder of ADS(s), a fee not in excess of U.S. $5.00 per 100 ADSs (or fraction thereof) held on the applicable record date(s) established by the Depositary;</w:t>
      </w:r>
    </w:p>
    <w:p>
      <w:pPr>
        <w:spacing w:after="0" w:line="161" w:lineRule="exact"/>
        <w:rPr>
          <w:rFonts w:ascii="Times New Roman" w:cs="Times New Roman" w:eastAsia="Times New Roman" w:hAnsi="Times New Roman"/>
          <w:sz w:val="18"/>
          <w:szCs w:val="18"/>
          <w:b w:val="1"/>
          <w:bCs w:val="1"/>
          <w:color w:val="auto"/>
        </w:rPr>
      </w:pPr>
    </w:p>
    <w:p>
      <w:pPr>
        <w:jc w:val="both"/>
        <w:ind w:left="1960" w:hanging="656"/>
        <w:spacing w:after="0" w:line="266" w:lineRule="auto"/>
        <w:tabs>
          <w:tab w:leader="none" w:pos="19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Registration of ADS Transfer Fee</w:t>
      </w:r>
      <w:r>
        <w:rPr>
          <w:rFonts w:ascii="Times New Roman" w:cs="Times New Roman" w:eastAsia="Times New Roman" w:hAnsi="Times New Roman"/>
          <w:sz w:val="18"/>
          <w:szCs w:val="18"/>
          <w:color w:val="auto"/>
        </w:rPr>
        <w:t xml:space="preserve">: by any Holder of ADS(s) being transferred or by any person to whom ADSs are transferred, a fee not in excess of U.S. $5.00 per 100 ADSs (or fraction thereof) transferred (e.g., upon a registration of the transfer of registered ownership of ADSs, upon a transfer of ADSs into DTC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 and</w:t>
      </w:r>
    </w:p>
    <w:p>
      <w:pPr>
        <w:spacing w:after="0" w:line="175" w:lineRule="exact"/>
        <w:rPr>
          <w:rFonts w:ascii="Times New Roman" w:cs="Times New Roman" w:eastAsia="Times New Roman" w:hAnsi="Times New Roman"/>
          <w:sz w:val="18"/>
          <w:szCs w:val="18"/>
          <w:b w:val="1"/>
          <w:bCs w:val="1"/>
          <w:color w:val="auto"/>
        </w:rPr>
      </w:pPr>
    </w:p>
    <w:p>
      <w:pPr>
        <w:jc w:val="both"/>
        <w:ind w:left="1960" w:hanging="656"/>
        <w:spacing w:after="0" w:line="261" w:lineRule="auto"/>
        <w:tabs>
          <w:tab w:leader="none" w:pos="19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ADS Conversion Fee</w:t>
      </w:r>
      <w:r>
        <w:rPr>
          <w:rFonts w:ascii="Times New Roman" w:cs="Times New Roman" w:eastAsia="Times New Roman" w:hAnsi="Times New Roman"/>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conversion of Partial Entitlement ADSs for Full Entitlement ADSs, or upon conversion of Restricted ADSs into freely transferrable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76" w:lineRule="exact"/>
        <w:rPr>
          <w:sz w:val="20"/>
          <w:szCs w:val="20"/>
          <w:color w:val="auto"/>
        </w:rPr>
      </w:pPr>
    </w:p>
    <w:p>
      <w:pPr>
        <w:ind w:left="1960" w:hanging="656"/>
        <w:spacing w:after="0"/>
        <w:tabs>
          <w:tab w:leader="none" w:pos="1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2" w:name="page113"/>
    <w:bookmarkEnd w:id="112"/>
    <w:p>
      <w:pPr>
        <w:jc w:val="both"/>
        <w:ind w:left="1960" w:hanging="656"/>
        <w:spacing w:after="0" w:line="266" w:lineRule="auto"/>
        <w:tabs>
          <w:tab w:leader="none" w:pos="1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ADS fees and charges so payable may be deducted from distributions or must be remitted to the Depositary, or its designee, and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3" w:name="page114"/>
    <w:bookmarkEnd w:id="11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72" w:lineRule="exact"/>
        <w:rPr>
          <w:sz w:val="20"/>
          <w:szCs w:val="20"/>
          <w:color w:val="auto"/>
        </w:rPr>
      </w:pPr>
    </w:p>
    <w:p>
      <w:pPr>
        <w:jc w:val="both"/>
        <w:ind w:firstLine="656"/>
        <w:spacing w:after="0" w:line="254" w:lineRule="auto"/>
        <w:tabs>
          <w:tab w:leader="none" w:pos="1065"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 to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in the Deposit Agreement and in this ADR, it is a condition of this ADR, and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065"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Validity of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this ADR (and the ADSs represented hereby) shall not be entitled to any benefits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4" w:name="page115"/>
    <w:bookmarkEnd w:id="114"/>
    <w:p>
      <w:pPr>
        <w:jc w:val="both"/>
        <w:ind w:firstLine="656"/>
        <w:spacing w:after="0" w:line="255" w:lineRule="auto"/>
        <w:tabs>
          <w:tab w:leader="none" w:pos="1078"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Available Information; Reports; Inspection of Transfer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and, accordingly, is required to file or furnish certain reports with the Commission. These reports can be retrieved from the Commission’s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 can be inspected and copied at the public reference facilities maintained by the Commission located (as of the date of the Deposit Agreement) at 100 F Street, N.E., Washington D.C. 20549. The Depositary shall make available for inspection by Holders at its Principal Office, as promptly as practicable after receipt thereof,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Deposit Agreement.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 (a) of the Deposit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w:t>
            </w:r>
          </w:p>
        </w:tc>
        <w:tc>
          <w:tcPr>
            <w:tcW w:w="29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CITIBANK, N.A.</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CITIBANK, N.A.</w:t>
            </w:r>
          </w:p>
        </w:tc>
      </w:t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Agent and Registrar</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as Depositary</w:t>
            </w:r>
          </w:p>
        </w:tc>
      </w:tr>
      <w:tr>
        <w:trPr>
          <w:trHeight w:val="43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8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w:t>
            </w:r>
          </w:p>
        </w:tc>
      </w:tr>
      <w:tr>
        <w:trPr>
          <w:trHeight w:val="228"/>
        </w:trPr>
        <w:tc>
          <w:tcPr>
            <w:tcW w:w="460" w:type="dxa"/>
            <w:vAlign w:val="bottom"/>
          </w:tcPr>
          <w:p>
            <w:pPr>
              <w:spacing w:after="0"/>
              <w:rPr>
                <w:sz w:val="19"/>
                <w:szCs w:val="19"/>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c>
          <w:tcPr>
            <w:tcW w:w="2940" w:type="dxa"/>
            <w:vAlign w:val="bottom"/>
          </w:tcPr>
          <w:p>
            <w:pPr>
              <w:spacing w:after="0"/>
              <w:rPr>
                <w:sz w:val="19"/>
                <w:szCs w:val="19"/>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7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address of the Principal Office of the Depositary is 388 Greenwich Street, New York, New York 10013, U.S.A.</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DEPOSIT AGREEMENT</w:t>
      </w:r>
    </w:p>
    <w:p>
      <w:pPr>
        <w:spacing w:after="0" w:line="221" w:lineRule="exact"/>
        <w:rPr>
          <w:sz w:val="20"/>
          <w:szCs w:val="20"/>
          <w:color w:val="auto"/>
        </w:rPr>
      </w:pPr>
    </w:p>
    <w:p>
      <w:pPr>
        <w:ind w:left="1040" w:hanging="384"/>
        <w:spacing w:after="0"/>
        <w:tabs>
          <w:tab w:leader="none" w:pos="10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 and Distributions in Cash, Shares, etc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52" w:lineRule="auto"/>
        <w:tabs>
          <w:tab w:leader="none" w:pos="89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Cash Distributions</w:t>
      </w:r>
      <w:r>
        <w:rPr>
          <w:rFonts w:ascii="Times New Roman" w:cs="Times New Roman" w:eastAsia="Times New Roman" w:hAnsi="Times New Roman"/>
          <w:sz w:val="18"/>
          <w:szCs w:val="18"/>
          <w:color w:val="auto"/>
        </w:rPr>
        <w:t>: Upon the timely receipt by the Depositary of a notice from the Company that it intends to make a distribution of a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dividend or other cash distribution, the Depositary shall establish the ADS Record Date upon the terms described in Section 4.9 of the Deposit Agreement. Upon receipt of confirmation of the receipt of (x) any cash dividend or other cash distribution on any Deposited Securities, or (y) proceeds from the sale of any Deposited Property held in respect of the ADSs under the terms of the Deposit Agreement, the Depositary will (i) if any amounts are received in a Foreign Currency,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described in the Fee Schedule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(b) applicable taxes required to be withheld as a result of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Section 4.1 of the Deposit Agreement,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6" w:name="page117"/>
    <w:bookmarkEnd w:id="116"/>
    <w:p>
      <w:pPr>
        <w:jc w:val="both"/>
        <w:ind w:firstLine="656"/>
        <w:spacing w:after="0" w:line="254" w:lineRule="auto"/>
        <w:tabs>
          <w:tab w:leader="none" w:pos="91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 Distributions</w:t>
      </w:r>
      <w:r>
        <w:rPr>
          <w:rFonts w:ascii="Times New Roman" w:cs="Times New Roman" w:eastAsia="Times New Roman" w:hAnsi="Times New Roman"/>
          <w:sz w:val="18"/>
          <w:szCs w:val="18"/>
          <w:color w:val="auto"/>
        </w:rPr>
        <w:t>: Upon the timely receipt by the Depositary of a notice from the Company that it intends to make a distribution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required to be withheld),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after consultation with the Company to the extent reasonably practicable,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w:t>
      </w:r>
    </w:p>
    <w:p>
      <w:pPr>
        <w:spacing w:after="0" w:line="5" w:lineRule="exact"/>
        <w:rPr>
          <w:sz w:val="20"/>
          <w:szCs w:val="20"/>
          <w:color w:val="auto"/>
        </w:rPr>
      </w:pPr>
    </w:p>
    <w:p>
      <w:pPr>
        <w:jc w:val="both"/>
        <w:ind w:firstLine="8"/>
        <w:spacing w:after="0" w:line="252" w:lineRule="auto"/>
        <w:tabs>
          <w:tab w:leader="none" w:pos="25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taxes required to be withheld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Section 4.2 of the Deposit Agreement,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7" w:name="page118"/>
    <w:bookmarkEnd w:id="117"/>
    <w:p>
      <w:pPr>
        <w:jc w:val="both"/>
        <w:ind w:firstLine="656"/>
        <w:spacing w:after="0" w:line="252" w:lineRule="auto"/>
        <w:tabs>
          <w:tab w:leader="none" w:pos="89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Elective Distributions in Cash or Shares</w:t>
      </w:r>
      <w:r>
        <w:rPr>
          <w:rFonts w:ascii="Times New Roman" w:cs="Times New Roman" w:eastAsia="Times New Roman" w:hAnsi="Times New Roman"/>
          <w:sz w:val="18"/>
          <w:szCs w:val="18"/>
          <w:color w:val="auto"/>
        </w:rPr>
        <w:t>: Upon the timely receipt of a notice indicating that the Company wishes an elective distribution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or Shares to be made available to Holders of ADSs upon the terms described in the Deposit Agreement,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satisfied, the Depositary shall, subject to the terms and conditions of the Deposit Agreement, establish the ADS Record Date according to paragraph (16) and Section 4.9 of the Deposit Agreement and establish procedures to enable the Holder hereof to elect the receipt of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England and Wales in respect of the Shares for which no election is made, either (x) cash upon the terms described in Section 4.1 of the Deposit Agreement or (y) additional ADSs representing such additional Shares, upon the terms described in Section 4.2 of the Deposit Agreement. Nothing herein or in the Deposit Agreement shall obligate the Depositary to make available to the Holder hereof a method to receive the elective distribution in Shares (rather than ADSs). There can be no assurance that the Holder hereof or Holders generally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Section 4.3 of the Deposit Agreement,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186" w:lineRule="exact"/>
        <w:rPr>
          <w:rFonts w:ascii="Times New Roman" w:cs="Times New Roman" w:eastAsia="Times New Roman" w:hAnsi="Times New Roman"/>
          <w:sz w:val="18"/>
          <w:szCs w:val="18"/>
          <w:color w:val="auto"/>
        </w:rPr>
      </w:pPr>
    </w:p>
    <w:p>
      <w:pPr>
        <w:jc w:val="both"/>
        <w:ind w:firstLine="656"/>
        <w:spacing w:after="0" w:line="252" w:lineRule="auto"/>
        <w:tabs>
          <w:tab w:leader="none" w:pos="91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 of Rights to Purchase Additional ADSs</w:t>
      </w:r>
      <w:r>
        <w:rPr>
          <w:rFonts w:ascii="Times New Roman" w:cs="Times New Roman" w:eastAsia="Times New Roman" w:hAnsi="Times New Roman"/>
          <w:sz w:val="18"/>
          <w:szCs w:val="18"/>
          <w:color w:val="auto"/>
        </w:rPr>
        <w:t>: Upon the timely receipt by the Depositary of a notice indicating that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proceed with the sale of the rights as described below.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8" w:name="page119"/>
    <w:bookmarkEnd w:id="1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reasonably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9" w:name="page120"/>
    <w:bookmarkEnd w:id="119"/>
    <w:p>
      <w:pPr>
        <w:jc w:val="both"/>
        <w:ind w:firstLine="656"/>
        <w:spacing w:after="0" w:line="254" w:lineRule="auto"/>
        <w:tabs>
          <w:tab w:leader="none" w:pos="89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Distributions other than Cash, Shares or Rights to Purchase Shares</w:t>
      </w:r>
      <w:r>
        <w:rPr>
          <w:rFonts w:ascii="Times New Roman" w:cs="Times New Roman" w:eastAsia="Times New Roman" w:hAnsi="Times New Roman"/>
          <w:sz w:val="18"/>
          <w:szCs w:val="18"/>
          <w:color w:val="auto"/>
        </w:rPr>
        <w:t>: Upon receipt of a notice indicating that the Company wishes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contemplated in Section 5.7 of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hereof and of Section 4.1 of the Deposit Agreement. If the Depositary is unable to sell such property, the Depositary may dispose of such property for the account of the Holders in any way it deems reasonably practicable under the circumstances.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72" w:lineRule="exact"/>
        <w:rPr>
          <w:sz w:val="20"/>
          <w:szCs w:val="20"/>
          <w:color w:val="auto"/>
        </w:rPr>
      </w:pPr>
    </w:p>
    <w:p>
      <w:pPr>
        <w:jc w:val="both"/>
        <w:ind w:firstLine="656"/>
        <w:spacing w:after="0" w:line="252" w:lineRule="auto"/>
        <w:tabs>
          <w:tab w:leader="none" w:pos="1065"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timely receipt of notice from the Company that it intends to exercise its right of redemption in respect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Deposited Securities, and satisfactory documentation, and, after consultation between the Depositary and the Custodian, upon determining that such proposed redemption is practicable, the Depositary shall (to the extent practicable) provide to each Holder a notice setting forth the Company’s intention to exercise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after consultation with the Company.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applicable taxes) multiplied by the number of Deposited Securities represented by each ADS redeemed. Notwithstanding anything contained in the Deposit Agreement to the contrary, in the event the Company fails to give the Depositary timely notice of the proposed redemption provided for in Section 4.7 of the Deposit Agreement,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0" w:name="page121"/>
    <w:bookmarkEnd w:id="120"/>
    <w:p>
      <w:pPr>
        <w:jc w:val="both"/>
        <w:ind w:firstLine="656"/>
        <w:spacing w:after="0" w:line="253" w:lineRule="auto"/>
        <w:tabs>
          <w:tab w:leader="none" w:pos="1078"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(a)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after consultation with the Company to the extent reasonably practicable, shall fix the record date (the “</w:t>
      </w:r>
      <w:r>
        <w:rPr>
          <w:rFonts w:ascii="Times New Roman" w:cs="Times New Roman" w:eastAsia="Times New Roman" w:hAnsi="Times New Roman"/>
          <w:sz w:val="18"/>
          <w:szCs w:val="18"/>
          <w:u w:val="single" w:color="auto"/>
          <w:color w:val="auto"/>
        </w:rPr>
        <w:t>ADS 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the terms and conditions of this ADR and Sections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051"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as soon as practicable after receipt thereof to Holders as of the ADS Record Date: (a) such notice of meeting or solicitation of consent or proxy,</w:t>
      </w:r>
    </w:p>
    <w:p>
      <w:pPr>
        <w:spacing w:after="0" w:line="3" w:lineRule="exact"/>
        <w:rPr>
          <w:rFonts w:ascii="Times New Roman" w:cs="Times New Roman" w:eastAsia="Times New Roman" w:hAnsi="Times New Roman"/>
          <w:sz w:val="18"/>
          <w:szCs w:val="18"/>
          <w:b w:val="1"/>
          <w:bCs w:val="1"/>
          <w:color w:val="auto"/>
        </w:rPr>
      </w:pPr>
    </w:p>
    <w:p>
      <w:pPr>
        <w:jc w:val="both"/>
        <w:ind w:firstLine="8"/>
        <w:spacing w:after="0" w:line="252" w:lineRule="auto"/>
        <w:tabs>
          <w:tab w:leader="none" w:pos="27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and timing (such timing to be determined after consultation with the Company) in which such voting instructions may be given to the Depositary or in which voting instructions may be deemed to have been given in accordance with Section 4.10 of the Deposit Agreement if no instructions are received prior to the deadline set for such purposes to the Depositary to give a discretionary proxy to a person designated by the Company.</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1" w:name="page122"/>
    <w:bookmarkEnd w:id="12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with the Company’s prior written consent, the Depositary may, to the extent not prohibited by law or regulations, or by the requirements of the stock exchange on which the ADSs may be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Depositary has been advised by the Company that the Articles of Association (as in effect on the date hereof), provide that voting at any meeting of shareholders is by show of hands unless a poll is demanded or the Company elects to proceed with the voting by a poll. The Depositary will not join in demanding a poll, whether or not requested to do so by Holders of ADSs. Under the Articles of Association (as in effect on the date hereof) a poll may be demanded by (i) the chairman of the meeting; (ii) by at least two members of the Company present in person (or by proxy), in each case, for the time being entitled to vote at the meeting; (iii) by any member or members of the Company present in person (or by proxy), in each case, for the time being entitled to vote at the meeting representing at least one-tenth of the total voting rights of all the members having the right to vote at the meeting; or (iv) by any member or members of the Company present in person (or by proxy), in each case, holding shares conferring a right to vote at the meeting, being shares on which an aggregate sum has been paid up equal to at least one-tenth of the total sum paid up on all the shares conferring that right.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any applicable law, the provisions of the Deposit Agreement, the Articles of Association of the Company and the provisions of the Deposited Securities, to vote, or cause the Custodian to vote, the Deposited Securities (in person or by proxy) represented by such Holder’s ADSs as follows: (i) in the event voting takes place at a shareholders’ meeting by a show of hands, the Depositary will instruct the Custodian to vote all Deposited Securities in accordance with the voting instructions received from a majority of Holders of ADSs who provided voting instructions, and</w:t>
      </w:r>
    </w:p>
    <w:p>
      <w:pPr>
        <w:spacing w:after="0" w:line="5" w:lineRule="exact"/>
        <w:rPr>
          <w:sz w:val="20"/>
          <w:szCs w:val="20"/>
          <w:color w:val="auto"/>
        </w:rPr>
      </w:pPr>
    </w:p>
    <w:p>
      <w:pPr>
        <w:jc w:val="both"/>
        <w:ind w:firstLine="8"/>
        <w:spacing w:after="0" w:line="252" w:lineRule="auto"/>
        <w:tabs>
          <w:tab w:leader="none" w:pos="29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voting takes place at a shareholders’ meeting by poll, the Depositary will instruct the Custodian to vote the Deposited Securities in accordance with the voting instructions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2" w:name="page123"/>
    <w:bookmarkEnd w:id="12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requested to be taken if so reasonably requested by the Depositary.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3" w:name="page124"/>
    <w:bookmarkEnd w:id="123"/>
    <w:p>
      <w:pPr>
        <w:jc w:val="both"/>
        <w:ind w:firstLine="656"/>
        <w:spacing w:after="0" w:line="253" w:lineRule="auto"/>
        <w:tabs>
          <w:tab w:leader="none" w:pos="1092"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Changes Affecting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change in nominal or par value, split-up, cancellation, consolidation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w:t>
      </w:r>
    </w:p>
    <w:p>
      <w:pPr>
        <w:jc w:val="both"/>
        <w:ind w:firstLine="8"/>
        <w:spacing w:after="0" w:line="251" w:lineRule="auto"/>
        <w:tabs>
          <w:tab w:leader="none" w:pos="26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applicable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187" w:lineRule="exact"/>
        <w:rPr>
          <w:rFonts w:ascii="Times New Roman" w:cs="Times New Roman" w:eastAsia="Times New Roman" w:hAnsi="Times New Roman"/>
          <w:sz w:val="18"/>
          <w:szCs w:val="18"/>
          <w:color w:val="auto"/>
        </w:rPr>
      </w:pPr>
    </w:p>
    <w:p>
      <w:pPr>
        <w:jc w:val="both"/>
        <w:ind w:firstLine="656"/>
        <w:spacing w:after="0" w:line="251" w:lineRule="auto"/>
        <w:tabs>
          <w:tab w:leader="none" w:pos="1038"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 Company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obligated to do or perform any act which is inconsistent with the provisions of the Deposit Agreement or incur any liability (to the extent not limited by paragraph (25) hereof and Section 7.8 (b)) (i) of the Deposit Agreement)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fire, flood, earthquake, tornado, hurricane, tsunami, explosion, or other natural disaster, nationalization, expropriation, currency restrictions, work stoppage, strikes, civil unrest, acts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w:t>
      </w:r>
    </w:p>
    <w:p>
      <w:pPr>
        <w:spacing w:after="0" w:line="13"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30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reasonably believed by it to be genuine and to have been signed or presented by the proper party or parties.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4" w:name="page125"/>
    <w:bookmarkEnd w:id="124"/>
    <w:p>
      <w:pPr>
        <w:jc w:val="both"/>
        <w:ind w:firstLine="656"/>
        <w:spacing w:after="0" w:line="255" w:lineRule="auto"/>
        <w:tabs>
          <w:tab w:leader="none" w:pos="1078"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reasonable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 for the Company.</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5" w:name="page126"/>
    <w:bookmarkEnd w:id="125"/>
    <w:p>
      <w:pPr>
        <w:jc w:val="both"/>
        <w:ind w:firstLine="656"/>
        <w:spacing w:after="0" w:line="252" w:lineRule="auto"/>
        <w:tabs>
          <w:tab w:leader="none" w:pos="1119"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6" w:name="page127"/>
    <w:bookmarkEnd w:id="126"/>
    <w:p>
      <w:pPr>
        <w:jc w:val="both"/>
        <w:ind w:firstLine="656"/>
        <w:spacing w:after="0" w:line="252" w:lineRule="auto"/>
        <w:tabs>
          <w:tab w:leader="none" w:pos="1105" w:val="left"/>
        </w:tabs>
        <w:numPr>
          <w:ilvl w:val="1"/>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paragraph 23, and Section 6.1 of the Deposit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186"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1065" w:val="left"/>
        </w:tabs>
        <w:numPr>
          <w:ilvl w:val="1"/>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 distributing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w:t>
      </w:r>
    </w:p>
    <w:p>
      <w:pPr>
        <w:spacing w:after="0" w:line="7" w:lineRule="exact"/>
        <w:rPr>
          <w:rFonts w:ascii="Times New Roman" w:cs="Times New Roman" w:eastAsia="Times New Roman" w:hAnsi="Times New Roman"/>
          <w:sz w:val="18"/>
          <w:szCs w:val="18"/>
          <w:b w:val="1"/>
          <w:bCs w:val="1"/>
          <w:color w:val="auto"/>
        </w:rPr>
      </w:pPr>
    </w:p>
    <w:p>
      <w:pPr>
        <w:jc w:val="both"/>
        <w:ind w:firstLine="8"/>
        <w:spacing w:after="0" w:line="250" w:lineRule="auto"/>
        <w:tabs>
          <w:tab w:leader="none" w:pos="2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22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7" w:name="page128"/>
    <w:bookmarkEnd w:id="12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3" w:lineRule="exact"/>
        <w:rPr>
          <w:sz w:val="20"/>
          <w:szCs w:val="20"/>
          <w:color w:val="auto"/>
        </w:rPr>
      </w:pPr>
    </w:p>
    <w:p>
      <w:pPr>
        <w:jc w:val="both"/>
        <w:ind w:firstLine="656"/>
        <w:spacing w:after="0" w:line="268" w:lineRule="auto"/>
        <w:tabs>
          <w:tab w:leader="none" w:pos="1092"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and No Disclaimer under, U.S.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Notwithstanding any provisions in this ADR or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2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8" w:name="page129"/>
    <w:bookmarkEnd w:id="128"/>
    <w:p>
      <w:pPr>
        <w:jc w:val="both"/>
        <w:ind w:firstLine="656"/>
        <w:spacing w:after="0" w:line="266" w:lineRule="auto"/>
        <w:tabs>
          <w:tab w:leader="none" w:pos="95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jc w:val="both"/>
        <w:ind w:firstLine="656"/>
        <w:spacing w:after="0" w:line="253" w:lineRule="auto"/>
        <w:tabs>
          <w:tab w:leader="none" w:pos="1078"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Third Party Beneficiaries/Acknowledgements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is for the exclusive benefit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4" w:lineRule="exact"/>
        <w:rPr>
          <w:rFonts w:ascii="Times New Roman" w:cs="Times New Roman" w:eastAsia="Times New Roman" w:hAnsi="Times New Roman"/>
          <w:sz w:val="18"/>
          <w:szCs w:val="18"/>
          <w:b w:val="1"/>
          <w:bCs w:val="1"/>
          <w:color w:val="auto"/>
        </w:rPr>
      </w:pPr>
    </w:p>
    <w:p>
      <w:pPr>
        <w:jc w:val="both"/>
        <w:ind w:firstLine="8"/>
        <w:spacing w:after="0" w:line="251" w:lineRule="auto"/>
        <w:tabs>
          <w:tab w:leader="none" w:pos="31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United States, England,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89" w:lineRule="exact"/>
        <w:rPr>
          <w:rFonts w:ascii="Times New Roman" w:cs="Times New Roman" w:eastAsia="Times New Roman" w:hAnsi="Times New Roman"/>
          <w:sz w:val="18"/>
          <w:szCs w:val="18"/>
          <w:color w:val="auto"/>
        </w:rPr>
      </w:pPr>
    </w:p>
    <w:p>
      <w:pPr>
        <w:jc w:val="both"/>
        <w:ind w:firstLine="656"/>
        <w:spacing w:after="0" w:line="257" w:lineRule="auto"/>
        <w:tabs>
          <w:tab w:leader="none" w:pos="1051"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 Waiver of Jury Trial</w:t>
      </w:r>
      <w:r>
        <w:rPr>
          <w:rFonts w:ascii="Times New Roman" w:cs="Times New Roman" w:eastAsia="Times New Roman" w:hAnsi="Times New Roman"/>
          <w:sz w:val="18"/>
          <w:szCs w:val="18"/>
          <w:color w:val="auto"/>
        </w:rPr>
        <w:t>. The Deposit Agreement, the ADRs and the ADSs shall be interpreted in accordance with,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hereunder and thereunder and provisions hereof and thereof shall be governed by, the laws of the State of New York applicable to contracts made and to be wholly performed in that State. Notwithstanding anything contained in the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9" w:name="page130"/>
    <w:bookmarkEnd w:id="129"/>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is _______________________ and whose address including postal zip code is ________________, the within ADR and all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hereby irrevocably constituting and appointing ________________________ attorney-in-fact to transfer said ADR on the books of the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Depositary with full power of substitution in the premises.</w:t>
            </w:r>
          </w:p>
        </w:tc>
        <w:tc>
          <w:tcPr>
            <w:tcW w:w="18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191"/>
        </w:trPr>
        <w:tc>
          <w:tcPr>
            <w:tcW w:w="54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57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5480" w:type="dxa"/>
            <w:vAlign w:val="bottom"/>
          </w:tcPr>
          <w:p>
            <w:pPr>
              <w:spacing w:after="0"/>
              <w:rPr>
                <w:sz w:val="24"/>
                <w:szCs w:val="24"/>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w w:val="99"/>
              </w:rPr>
              <w:t>NOTICE: The signature of the Holder to this assignment must</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correspond with the name as written upon the face of the</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within instrument in every particular, without alteration or</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enlargement or any change whatsoever.</w:t>
            </w:r>
          </w:p>
        </w:tc>
        <w:tc>
          <w:tcPr>
            <w:tcW w:w="0" w:type="dxa"/>
            <w:vAlign w:val="bottom"/>
          </w:tcPr>
          <w:p>
            <w:pPr>
              <w:spacing w:after="0"/>
              <w:rPr>
                <w:sz w:val="1"/>
                <w:szCs w:val="1"/>
                <w:color w:val="auto"/>
              </w:rPr>
            </w:pPr>
          </w:p>
        </w:tc>
      </w:tr>
      <w:tr>
        <w:trPr>
          <w:trHeight w:val="414"/>
        </w:trPr>
        <w:tc>
          <w:tcPr>
            <w:tcW w:w="5480" w:type="dxa"/>
            <w:vAlign w:val="bottom"/>
          </w:tcPr>
          <w:p>
            <w:pPr>
              <w:spacing w:after="0"/>
              <w:rPr>
                <w:sz w:val="24"/>
                <w:szCs w:val="24"/>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If the endorsement be executed by an attorney, executor,</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administrator, trustee or guardian, the person executing the</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endorsement must give his/her full title in such capacity and</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proper evidence of authority to act in such capacity, if not on</w:t>
            </w:r>
          </w:p>
        </w:tc>
        <w:tc>
          <w:tcPr>
            <w:tcW w:w="0" w:type="dxa"/>
            <w:vAlign w:val="bottom"/>
          </w:tcPr>
          <w:p>
            <w:pPr>
              <w:spacing w:after="0"/>
              <w:rPr>
                <w:sz w:val="1"/>
                <w:szCs w:val="1"/>
                <w:color w:val="auto"/>
              </w:rPr>
            </w:pPr>
          </w:p>
        </w:tc>
      </w:tr>
      <w:tr>
        <w:trPr>
          <w:trHeight w:val="234"/>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file with the Depositary, must be forwarded with this ADR.</w:t>
            </w:r>
          </w:p>
        </w:tc>
        <w:tc>
          <w:tcPr>
            <w:tcW w:w="0" w:type="dxa"/>
            <w:vAlign w:val="bottom"/>
          </w:tcPr>
          <w:p>
            <w:pPr>
              <w:spacing w:after="0"/>
              <w:rPr>
                <w:sz w:val="1"/>
                <w:szCs w:val="1"/>
                <w:color w:val="auto"/>
              </w:rPr>
            </w:pPr>
          </w:p>
        </w:tc>
      </w:tr>
      <w:tr>
        <w:trPr>
          <w:trHeight w:val="198"/>
        </w:trPr>
        <w:tc>
          <w:tcPr>
            <w:tcW w:w="54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576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8"/>
                <w:szCs w:val="18"/>
                <w:color w:val="auto"/>
              </w:rPr>
              <w:t>All endorsements or assignments of ADRs must be</w:t>
            </w:r>
          </w:p>
        </w:tc>
        <w:tc>
          <w:tcPr>
            <w:tcW w:w="0" w:type="dxa"/>
            <w:vAlign w:val="bottom"/>
          </w:tcPr>
          <w:p>
            <w:pPr>
              <w:spacing w:after="0"/>
              <w:rPr>
                <w:sz w:val="1"/>
                <w:szCs w:val="1"/>
                <w:color w:val="auto"/>
              </w:rPr>
            </w:pPr>
          </w:p>
        </w:tc>
      </w:tr>
      <w:tr>
        <w:trPr>
          <w:trHeight w:val="198"/>
        </w:trPr>
        <w:tc>
          <w:tcPr>
            <w:tcW w:w="5480" w:type="dxa"/>
            <w:vAlign w:val="bottom"/>
          </w:tcPr>
          <w:p>
            <w:pPr>
              <w:spacing w:after="0"/>
              <w:rPr>
                <w:sz w:val="17"/>
                <w:szCs w:val="17"/>
                <w:color w:val="auto"/>
              </w:rPr>
            </w:pPr>
          </w:p>
        </w:tc>
        <w:tc>
          <w:tcPr>
            <w:tcW w:w="5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guaranteed by a member of a Medallion Signature Program</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57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approved by the Securities Transfer Association, Inc.</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ADS FEES AND RELATED CHARGES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 given to such terms in the Deposit Agreement. Except as otherwise specified herein, any reference to ADSs herein includes Partial Entitlement ADSs, Full Entitlement ADSs, Certificated ADSs, Uncertificated ADSs, and Restricted ADSs.</w:t>
      </w:r>
    </w:p>
    <w:p>
      <w:pPr>
        <w:spacing w:after="0" w:line="172"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ADS fees are payable under the terms of the Deposit Agreement: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8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By Whom Paid</w:t>
            </w: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 Issuance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ADSs are issued.</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deposit of Shares, upon a change in the ADS(s)-to-</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issued.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Share(s) ratio, or for any other reason), excluding</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issuances as a result of distributions described in</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paragraph (4) below.</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1"/>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 Cancellation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ADSs are being cancelled.</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ADSs for Delivery of deposited Shares,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cancelled.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change in the ADS(s)-to-Share(s) ratio, or for any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1"/>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 Distribution of cash dividends or other cash</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8"/>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entitlements).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 Distribution of ADSs pursuant to (i) stock</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dividends or other free stock distributions, or (ii) an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exercise of rights to purchase additional ADSs.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2" w:name="page133"/>
    <w:bookmarkEnd w:id="132"/>
    <w:tbl>
      <w:tblPr>
        <w:tblLayout w:type="fixed"/>
        <w:tblInd w:w="10" w:type="dxa"/>
        <w:tblCellMar>
          <w:top w:w="0" w:type="dxa"/>
          <w:left w:w="0" w:type="dxa"/>
          <w:bottom w:w="0" w:type="dxa"/>
          <w:right w:w="0" w:type="dxa"/>
        </w:tblCellMar>
      </w:tblPr>
      <w:tr>
        <w:trPr>
          <w:trHeight w:val="250"/>
        </w:trPr>
        <w:tc>
          <w:tcPr>
            <w:tcW w:w="38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 Distribution of securities other than ADSs or</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8"/>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1"/>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 ADS Services.</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holding ADSs on the applicable record</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 on the applicable record date(s)</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date(s) established by the Depositary.</w:t>
            </w:r>
          </w:p>
        </w:tc>
      </w:tr>
      <w:tr>
        <w:trPr>
          <w:trHeight w:val="234"/>
        </w:trPr>
        <w:tc>
          <w:tcPr>
            <w:tcW w:w="3840" w:type="dxa"/>
            <w:vAlign w:val="bottom"/>
            <w:tcBorders>
              <w:left w:val="single" w:sz="8" w:color="auto"/>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established by the Depositary.</w:t>
            </w:r>
          </w:p>
        </w:tc>
        <w:tc>
          <w:tcPr>
            <w:tcW w:w="3700" w:type="dxa"/>
            <w:vAlign w:val="bottom"/>
            <w:tcBorders>
              <w:right w:val="single" w:sz="8" w:color="auto"/>
            </w:tcBorders>
          </w:tcPr>
          <w:p>
            <w:pPr>
              <w:spacing w:after="0"/>
              <w:rPr>
                <w:sz w:val="20"/>
                <w:szCs w:val="20"/>
                <w:color w:val="auto"/>
              </w:rPr>
            </w:pPr>
          </w:p>
        </w:tc>
      </w:tr>
      <w:tr>
        <w:trPr>
          <w:trHeight w:val="41"/>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7) Registration of ADS Transfers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or to whom ADSs are</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registration of the transfer of registered ownership</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transferred.</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transferred.</w:t>
            </w:r>
          </w:p>
        </w:tc>
      </w:tr>
      <w:tr>
        <w:trPr>
          <w:trHeight w:val="21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of ADSs, upon a transfer of ADSs into DTC and</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1"/>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 Conversion of ADSs of one series for ADSs of</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ADSs are converted or to</w:t>
            </w:r>
          </w:p>
        </w:tc>
      </w:tr>
      <w:tr>
        <w:trPr>
          <w:trHeight w:val="218"/>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another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conversion of Partial</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converted.</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whom the converted ADSs are delivered.</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Entitlement ADSs for Full Entitlement ADSs, or</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upon conversion of Restricted ADSs into freely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194"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76"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fees and charges may at any time and from time to time be changed by agreement between the Company and the Depositary.</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8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1."/>
      <w:numFmt w:val="decimal"/>
      <w:start w:val="1"/>
    </w:lvl>
  </w:abstractNum>
  <w:abstractNum w:abstractNumId="2">
    <w:nsid w:val="235BA861"/>
    <w:multiLevelType w:val="hybridMultilevel"/>
    <w:lvl w:ilvl="0">
      <w:lvlJc w:val="left"/>
      <w:lvlText w:val="(%1)"/>
      <w:numFmt w:val="lowerRoman"/>
      <w:start w:val="1"/>
    </w:lvl>
  </w:abstractNum>
  <w:abstractNum w:abstractNumId="3">
    <w:nsid w:val="47398C89"/>
    <w:multiLevelType w:val="hybridMultilevel"/>
    <w:lvl w:ilvl="0">
      <w:lvlJc w:val="left"/>
      <w:lvlText w:val="(%1)"/>
      <w:numFmt w:val="lowerLetter"/>
      <w:start w:val="2"/>
    </w:lvl>
  </w:abstractNum>
  <w:abstractNum w:abstractNumId="4">
    <w:nsid w:val="354FE9F9"/>
    <w:multiLevelType w:val="hybridMultilevel"/>
    <w:lvl w:ilvl="0">
      <w:lvlJc w:val="left"/>
      <w:lvlText w:val="(%1)"/>
      <w:numFmt w:val="lowerLetter"/>
      <w:start w:val="1"/>
    </w:lvl>
  </w:abstractNum>
  <w:abstractNum w:abstractNumId="5">
    <w:nsid w:val="15B5AF5C"/>
    <w:multiLevelType w:val="hybridMultilevel"/>
    <w:lvl w:ilvl="0">
      <w:lvlJc w:val="left"/>
      <w:lvlText w:val="(%1)"/>
      <w:numFmt w:val="lowerLetter"/>
      <w:start w:val="2"/>
    </w:lvl>
  </w:abstractNum>
  <w:abstractNum w:abstractNumId="6">
    <w:nsid w:val="741226BB"/>
    <w:multiLevelType w:val="hybridMultilevel"/>
    <w:lvl w:ilvl="0">
      <w:lvlJc w:val="left"/>
      <w:lvlText w:val="(%1)"/>
      <w:numFmt w:val="lowerLetter"/>
      <w:start w:val="1"/>
    </w:lvl>
  </w:abstractNum>
  <w:abstractNum w:abstractNumId="7">
    <w:nsid w:val="D34B6A8"/>
    <w:multiLevelType w:val="hybridMultilevel"/>
    <w:lvl w:ilvl="0">
      <w:lvlJc w:val="left"/>
      <w:lvlText w:val="(%1)"/>
      <w:numFmt w:val="lowerLetter"/>
      <w:start w:val="1"/>
    </w:lvl>
  </w:abstractNum>
  <w:abstractNum w:abstractNumId="8">
    <w:nsid w:val="10233C99"/>
    <w:multiLevelType w:val="hybridMultilevel"/>
    <w:lvl w:ilvl="0">
      <w:lvlJc w:val="left"/>
      <w:lvlText w:val="(%1)"/>
      <w:numFmt w:val="decimal"/>
      <w:start w:val="10"/>
    </w:lvl>
  </w:abstractNum>
  <w:abstractNum w:abstractNumId="9">
    <w:nsid w:val="3F6AB60F"/>
    <w:multiLevelType w:val="hybridMultilevel"/>
    <w:lvl w:ilvl="0">
      <w:lvlJc w:val="left"/>
      <w:lvlText w:val="(%1)"/>
      <w:numFmt w:val="decimal"/>
      <w:start w:val="1"/>
    </w:lvl>
  </w:abstractNum>
  <w:abstractNum w:abstractNumId="10">
    <w:nsid w:val="61574095"/>
    <w:multiLevelType w:val="hybridMultilevel"/>
    <w:lvl w:ilvl="0">
      <w:lvlJc w:val="left"/>
      <w:lvlText w:val="%1"/>
      <w:numFmt w:val="lowerRoman"/>
      <w:start w:val="1"/>
    </w:lvl>
    <w:lvl w:ilvl="1">
      <w:lvlJc w:val="left"/>
      <w:lvlText w:val="(%2)"/>
      <w:numFmt w:val="decimal"/>
      <w:start w:val="2"/>
    </w:lvl>
  </w:abstractNum>
  <w:abstractNum w:abstractNumId="11">
    <w:nsid w:val="7E0C57B1"/>
    <w:multiLevelType w:val="hybridMultilevel"/>
    <w:lvl w:ilvl="0">
      <w:lvlJc w:val="left"/>
      <w:lvlText w:val="(%1)"/>
      <w:numFmt w:val="lowerRoman"/>
      <w:start w:val="4"/>
    </w:lvl>
    <w:lvl w:ilvl="1">
      <w:lvlJc w:val="left"/>
      <w:lvlText w:val="%2"/>
      <w:numFmt w:val="decimal"/>
      <w:start w:val="1"/>
    </w:lvl>
  </w:abstractNum>
  <w:abstractNum w:abstractNumId="12">
    <w:nsid w:val="77AE35EB"/>
    <w:multiLevelType w:val="hybridMultilevel"/>
    <w:lvl w:ilvl="0">
      <w:lvlJc w:val="left"/>
      <w:lvlText w:val="(%1)"/>
      <w:numFmt w:val="decimal"/>
      <w:start w:val="3"/>
    </w:lvl>
  </w:abstractNum>
  <w:abstractNum w:abstractNumId="13">
    <w:nsid w:val="579BE4F1"/>
    <w:multiLevelType w:val="hybridMultilevel"/>
    <w:lvl w:ilvl="0">
      <w:lvlJc w:val="left"/>
      <w:lvlText w:val="(%1)"/>
      <w:numFmt w:val="lowerRoman"/>
      <w:start w:val="2"/>
    </w:lvl>
    <w:lvl w:ilvl="1">
      <w:lvlJc w:val="left"/>
      <w:lvlText w:val="(%2)"/>
      <w:numFmt w:val="decimal"/>
      <w:start w:val="4"/>
    </w:lvl>
  </w:abstractNum>
  <w:abstractNum w:abstractNumId="14">
    <w:nsid w:val="310C50B3"/>
    <w:multiLevelType w:val="hybridMultilevel"/>
    <w:lvl w:ilvl="0">
      <w:lvlJc w:val="left"/>
      <w:lvlText w:val="(%1)"/>
      <w:numFmt w:val="decimal"/>
      <w:start w:val="5"/>
    </w:lvl>
  </w:abstractNum>
  <w:abstractNum w:abstractNumId="15">
    <w:nsid w:val="5FF87E05"/>
    <w:multiLevelType w:val="hybridMultilevel"/>
    <w:lvl w:ilvl="0">
      <w:lvlJc w:val="left"/>
      <w:lvlText w:val="(%1)"/>
      <w:numFmt w:val="decimal"/>
      <w:start w:val="7"/>
    </w:lvl>
  </w:abstractNum>
  <w:abstractNum w:abstractNumId="16">
    <w:nsid w:val="2F305DEF"/>
    <w:multiLevelType w:val="hybridMultilevel"/>
    <w:lvl w:ilvl="0">
      <w:lvlJc w:val="left"/>
      <w:lvlText w:val="(%1)"/>
      <w:numFmt w:val="decimal"/>
      <w:start w:val="8"/>
    </w:lvl>
  </w:abstractNum>
  <w:abstractNum w:abstractNumId="17">
    <w:nsid w:val="25A70BF7"/>
    <w:multiLevelType w:val="hybridMultilevel"/>
    <w:lvl w:ilvl="0">
      <w:lvlJc w:val="left"/>
      <w:lvlText w:val="(%1)"/>
      <w:numFmt w:val="decimal"/>
      <w:start w:val="11"/>
    </w:lvl>
    <w:lvl w:ilvl="1">
      <w:lvlJc w:val="left"/>
      <w:lvlText w:val="(%2)"/>
      <w:numFmt w:val="lowerRoman"/>
      <w:start w:val="1"/>
    </w:lvl>
  </w:abstractNum>
  <w:abstractNum w:abstractNumId="18">
    <w:nsid w:val="1DBABF00"/>
    <w:multiLevelType w:val="hybridMultilevel"/>
    <w:lvl w:ilvl="0">
      <w:lvlJc w:val="left"/>
      <w:lvlText w:val="(%1)"/>
      <w:numFmt w:val="lowerLetter"/>
      <w:start w:val="1"/>
    </w:lvl>
  </w:abstractNum>
  <w:abstractNum w:abstractNumId="19">
    <w:nsid w:val="4AD084E9"/>
    <w:multiLevelType w:val="hybridMultilevel"/>
    <w:lvl w:ilvl="0">
      <w:lvlJc w:val="left"/>
      <w:lvlText w:val="(%1)"/>
      <w:numFmt w:val="decimal"/>
      <w:start w:val="12"/>
    </w:lvl>
  </w:abstractNum>
  <w:abstractNum w:abstractNumId="20">
    <w:nsid w:val="1F48EAA1"/>
    <w:multiLevelType w:val="hybridMultilevel"/>
    <w:lvl w:ilvl="0">
      <w:lvlJc w:val="left"/>
      <w:lvlText w:val="(%1)"/>
      <w:numFmt w:val="decimal"/>
      <w:start w:val="15"/>
    </w:lvl>
  </w:abstractNum>
  <w:abstractNum w:abstractNumId="21">
    <w:nsid w:val="1381823A"/>
    <w:multiLevelType w:val="hybridMultilevel"/>
    <w:lvl w:ilvl="0">
      <w:lvlJc w:val="left"/>
      <w:lvlText w:val="(%1)"/>
      <w:numFmt w:val="lowerLetter"/>
      <w:start w:val="1"/>
    </w:lvl>
  </w:abstractNum>
  <w:abstractNum w:abstractNumId="22">
    <w:nsid w:val="5DB70AE5"/>
    <w:multiLevelType w:val="hybridMultilevel"/>
    <w:lvl w:ilvl="0">
      <w:lvlJc w:val="left"/>
      <w:lvlText w:val="(%1)"/>
      <w:numFmt w:val="lowerLetter"/>
      <w:start w:val="2"/>
    </w:lvl>
  </w:abstractNum>
  <w:abstractNum w:abstractNumId="23">
    <w:nsid w:val="100F8FCA"/>
    <w:multiLevelType w:val="hybridMultilevel"/>
    <w:lvl w:ilvl="0">
      <w:lvlJc w:val="left"/>
      <w:lvlText w:val="(%1)"/>
      <w:numFmt w:val="lowerLetter"/>
      <w:start w:val="1"/>
    </w:lvl>
  </w:abstractNum>
  <w:abstractNum w:abstractNumId="24">
    <w:nsid w:val="6590700B"/>
    <w:multiLevelType w:val="hybridMultilevel"/>
    <w:lvl w:ilvl="0">
      <w:lvlJc w:val="left"/>
      <w:lvlText w:val="(%1)"/>
      <w:numFmt w:val="lowerLetter"/>
      <w:start w:val="3"/>
    </w:lvl>
  </w:abstractNum>
  <w:abstractNum w:abstractNumId="25">
    <w:nsid w:val="15014ACB"/>
    <w:multiLevelType w:val="hybridMultilevel"/>
    <w:lvl w:ilvl="0">
      <w:lvlJc w:val="left"/>
      <w:lvlText w:val="(%1)"/>
      <w:numFmt w:val="lowerLetter"/>
      <w:start w:val="5"/>
    </w:lvl>
  </w:abstractNum>
  <w:abstractNum w:abstractNumId="26">
    <w:nsid w:val="5F5E7FD0"/>
    <w:multiLevelType w:val="hybridMultilevel"/>
    <w:lvl w:ilvl="0">
      <w:lvlJc w:val="left"/>
      <w:lvlText w:val="(%1)"/>
      <w:numFmt w:val="decimal"/>
      <w:start w:val="16"/>
    </w:lvl>
  </w:abstractNum>
  <w:abstractNum w:abstractNumId="27">
    <w:nsid w:val="98A3148"/>
    <w:multiLevelType w:val="hybridMultilevel"/>
    <w:lvl w:ilvl="0">
      <w:lvlJc w:val="left"/>
      <w:lvlText w:val="%1"/>
      <w:numFmt w:val="lowerLetter"/>
      <w:start w:val="1"/>
    </w:lvl>
    <w:lvl w:ilvl="1">
      <w:lvlJc w:val="left"/>
      <w:lvlText w:val="(%2)"/>
      <w:numFmt w:val="decimal"/>
      <w:start w:val="17"/>
    </w:lvl>
  </w:abstractNum>
  <w:abstractNum w:abstractNumId="28">
    <w:nsid w:val="799D0247"/>
    <w:multiLevelType w:val="hybridMultilevel"/>
    <w:lvl w:ilvl="0">
      <w:lvlJc w:val="left"/>
      <w:lvlText w:val="(%1)"/>
      <w:numFmt w:val="lowerLetter"/>
      <w:start w:val="2"/>
    </w:lvl>
    <w:lvl w:ilvl="1">
      <w:lvlJc w:val="left"/>
      <w:lvlText w:val="%2"/>
      <w:numFmt w:val="decimal"/>
      <w:start w:val="1"/>
    </w:lvl>
  </w:abstractNum>
  <w:abstractNum w:abstractNumId="29">
    <w:nsid w:val="6B94764"/>
    <w:multiLevelType w:val="hybridMultilevel"/>
    <w:lvl w:ilvl="0">
      <w:lvlJc w:val="left"/>
      <w:lvlText w:val="(%1)"/>
      <w:numFmt w:val="lowerRoman"/>
      <w:start w:val="2"/>
    </w:lvl>
  </w:abstractNum>
  <w:abstractNum w:abstractNumId="30">
    <w:nsid w:val="42C296BD"/>
    <w:multiLevelType w:val="hybridMultilevel"/>
    <w:lvl w:ilvl="0">
      <w:lvlJc w:val="left"/>
      <w:lvlText w:val="%1"/>
      <w:numFmt w:val="lowerRoman"/>
      <w:start w:val="1"/>
    </w:lvl>
    <w:lvl w:ilvl="1">
      <w:lvlJc w:val="left"/>
      <w:lvlText w:val="(%2)"/>
      <w:numFmt w:val="decimal"/>
      <w:start w:val="19"/>
    </w:lvl>
  </w:abstractNum>
  <w:abstractNum w:abstractNumId="31">
    <w:nsid w:val="168E121F"/>
    <w:multiLevelType w:val="hybridMultilevel"/>
    <w:lvl w:ilvl="0">
      <w:lvlJc w:val="left"/>
      <w:lvlText w:val="(%1)"/>
      <w:numFmt w:val="lowerRoman"/>
      <w:start w:val="2"/>
    </w:lvl>
    <w:lvl w:ilvl="1">
      <w:lvlJc w:val="left"/>
      <w:lvlText w:val="%2"/>
      <w:numFmt w:val="decimal"/>
      <w:start w:val="1"/>
    </w:lvl>
  </w:abstractNum>
  <w:abstractNum w:abstractNumId="32">
    <w:nsid w:val="1EBA5D23"/>
    <w:multiLevelType w:val="hybridMultilevel"/>
    <w:lvl w:ilvl="0">
      <w:lvlJc w:val="left"/>
      <w:lvlText w:val="%1"/>
      <w:numFmt w:val="lowerRoman"/>
      <w:start w:val="1"/>
    </w:lvl>
    <w:lvl w:ilvl="1">
      <w:lvlJc w:val="left"/>
      <w:lvlText w:val="(%2)"/>
      <w:numFmt w:val="decimal"/>
      <w:start w:val="20"/>
    </w:lvl>
  </w:abstractNum>
  <w:abstractNum w:abstractNumId="33">
    <w:nsid w:val="661E3F1E"/>
    <w:multiLevelType w:val="hybridMultilevel"/>
    <w:lvl w:ilvl="0">
      <w:lvlJc w:val="left"/>
      <w:lvlText w:val="(%1)"/>
      <w:numFmt w:val="lowerRoman"/>
      <w:start w:val="6"/>
    </w:lvl>
    <w:lvl w:ilvl="1">
      <w:lvlJc w:val="left"/>
      <w:lvlText w:val="%2"/>
      <w:numFmt w:val="decimal"/>
      <w:start w:val="1"/>
    </w:lvl>
  </w:abstractNum>
  <w:abstractNum w:abstractNumId="34">
    <w:nsid w:val="5DC79EA8"/>
    <w:multiLevelType w:val="hybridMultilevel"/>
    <w:lvl w:ilvl="0">
      <w:lvlJc w:val="left"/>
      <w:lvlText w:val="(%1)"/>
      <w:numFmt w:val="decimal"/>
      <w:start w:val="21"/>
    </w:lvl>
  </w:abstractNum>
  <w:abstractNum w:abstractNumId="35">
    <w:nsid w:val="540A471C"/>
    <w:multiLevelType w:val="hybridMultilevel"/>
    <w:lvl w:ilvl="0">
      <w:lvlJc w:val="left"/>
      <w:lvlText w:val="(%1)"/>
      <w:numFmt w:val="decimal"/>
      <w:start w:val="22"/>
    </w:lvl>
  </w:abstractNum>
  <w:abstractNum w:abstractNumId="36">
    <w:nsid w:val="7BD3EE7B"/>
    <w:multiLevelType w:val="hybridMultilevel"/>
    <w:lvl w:ilvl="0">
      <w:lvlJc w:val="left"/>
      <w:lvlText w:val="%1"/>
      <w:numFmt w:val="lowerRoman"/>
      <w:start w:val="1"/>
    </w:lvl>
    <w:lvl w:ilvl="1">
      <w:lvlJc w:val="left"/>
      <w:lvlText w:val="(%2)"/>
      <w:numFmt w:val="decimal"/>
      <w:start w:val="24"/>
    </w:lvl>
  </w:abstractNum>
  <w:abstractNum w:abstractNumId="37">
    <w:nsid w:val="51D9C564"/>
    <w:multiLevelType w:val="hybridMultilevel"/>
    <w:lvl w:ilvl="0">
      <w:lvlJc w:val="left"/>
      <w:lvlText w:val="(%1)"/>
      <w:numFmt w:val="lowerRoman"/>
      <w:start w:val="1"/>
    </w:lvl>
    <w:lvl w:ilvl="1">
      <w:lvlJc w:val="left"/>
      <w:lvlText w:val="%2"/>
      <w:numFmt w:val="decimal"/>
      <w:start w:val="1"/>
    </w:lvl>
  </w:abstractNum>
  <w:abstractNum w:abstractNumId="38">
    <w:nsid w:val="613EFDC5"/>
    <w:multiLevelType w:val="hybridMultilevel"/>
    <w:lvl w:ilvl="0">
      <w:lvlJc w:val="left"/>
      <w:lvlText w:val="(%1)"/>
      <w:numFmt w:val="lowerRoman"/>
      <w:start w:val="1"/>
    </w:lvl>
    <w:lvl w:ilvl="1">
      <w:lvlJc w:val="left"/>
      <w:lvlText w:val="%2"/>
      <w:numFmt w:val="decimal"/>
      <w:start w:val="1"/>
    </w:lvl>
  </w:abstractNum>
  <w:abstractNum w:abstractNumId="39">
    <w:nsid w:val="BF72B14"/>
    <w:multiLevelType w:val="hybridMultilevel"/>
    <w:lvl w:ilvl="0">
      <w:lvlJc w:val="left"/>
      <w:lvlText w:val="(%1)"/>
      <w:numFmt w:val="decimal"/>
      <w:start w:val="25"/>
    </w:lvl>
  </w:abstractNum>
  <w:abstractNum w:abstractNumId="40">
    <w:nsid w:val="11447B73"/>
    <w:multiLevelType w:val="hybridMultilevel"/>
    <w:lvl w:ilvl="0">
      <w:lvlJc w:val="left"/>
      <w:lvlText w:val="(%1)"/>
      <w:numFmt w:val="lowerLetter"/>
      <w:start w:val="2"/>
    </w:lvl>
  </w:abstractNum>
  <w:abstractNum w:abstractNumId="41">
    <w:nsid w:val="42963E5A"/>
    <w:multiLevelType w:val="hybridMultilevel"/>
    <w:lvl w:ilvl="0">
      <w:lvlJc w:val="left"/>
      <w:lvlText w:val="%1"/>
      <w:numFmt w:val="lowerRoman"/>
      <w:start w:val="1"/>
    </w:lvl>
    <w:lvl w:ilvl="1">
      <w:lvlJc w:val="left"/>
      <w:lvlText w:val="(%2)"/>
      <w:numFmt w:val="decimal"/>
      <w:start w:val="26"/>
    </w:lvl>
  </w:abstractNum>
  <w:abstractNum w:abstractNumId="42">
    <w:nsid w:val="A0382C5"/>
    <w:multiLevelType w:val="hybridMultilevel"/>
    <w:lvl w:ilvl="0">
      <w:lvlJc w:val="left"/>
      <w:lvlText w:val="(%1)"/>
      <w:numFmt w:val="lowerRoman"/>
      <w:start w:val="4"/>
    </w:lvl>
    <w:lvl w:ilvl="1">
      <w:lvlJc w:val="left"/>
      <w:lvlText w:val="%2"/>
      <w:numFmt w:val="decimal"/>
      <w:start w:val="1"/>
    </w:lvl>
  </w:abstractNum>
  <w:abstractNum w:abstractNumId="43">
    <w:nsid w:val="8F2B15E"/>
    <w:multiLevelType w:val="hybridMultilevel"/>
    <w:lvl w:ilvl="0">
      <w:lvlJc w:val="left"/>
      <w:lvlText w:val="(%1)"/>
      <w:numFmt w:val="decimal"/>
      <w:start w:val="27"/>
    </w:lvl>
  </w:abstractNum>
  <w:abstractNum w:abstractNumId="44">
    <w:nsid w:val="1A32234B"/>
    <w:multiLevelType w:val="hybridMultilevel"/>
    <w:lvl w:ilvl="0">
      <w:lvlJc w:val="left"/>
      <w:lvlText w:val="(%1)"/>
      <w:numFmt w:val="lowerLetter"/>
      <w:start w:val="1"/>
    </w:lvl>
  </w:abstractNum>
  <w:abstractNum w:abstractNumId="45">
    <w:nsid w:val="3B0FD379"/>
    <w:multiLevelType w:val="hybridMultilevel"/>
    <w:lvl w:ilvl="0">
      <w:lvlJc w:val="left"/>
      <w:lvlText w:val="(%1)"/>
      <w:numFmt w:val="lowerRoman"/>
      <w:start w:val="1"/>
    </w:lvl>
  </w:abstractNum>
  <w:abstractNum w:abstractNumId="46">
    <w:nsid w:val="68EB2F63"/>
    <w:multiLevelType w:val="hybridMultilevel"/>
    <w:lvl w:ilvl="0">
      <w:lvlJc w:val="left"/>
      <w:lvlText w:val="(%1)"/>
      <w:numFmt w:val="lowerLetter"/>
      <w:start w:val="2"/>
    </w:lvl>
  </w:abstractNum>
  <w:abstractNum w:abstractNumId="47">
    <w:nsid w:val="4962813B"/>
    <w:multiLevelType w:val="hybridMultilevel"/>
    <w:lvl w:ilvl="0">
      <w:lvlJc w:val="left"/>
      <w:lvlText w:val="%1"/>
      <w:numFmt w:val="lowerLetter"/>
      <w:start w:val="1"/>
    </w:lvl>
    <w:lvl w:ilvl="1">
      <w:lvlJc w:val="left"/>
      <w:lvlText w:val="(%2)"/>
      <w:numFmt w:val="lowerLetter"/>
      <w:start w:val="1"/>
    </w:lvl>
  </w:abstractNum>
  <w:abstractNum w:abstractNumId="48">
    <w:nsid w:val="60B6DF70"/>
    <w:multiLevelType w:val="hybridMultilevel"/>
    <w:lvl w:ilvl="0">
      <w:lvlJc w:val="left"/>
      <w:lvlText w:val="(%1)"/>
      <w:numFmt w:val="lowerLetter"/>
      <w:start w:val="35"/>
    </w:lvl>
    <w:lvl w:ilvl="1">
      <w:lvlJc w:val="left"/>
      <w:lvlText w:val="%2"/>
      <w:numFmt w:val="lowerLetter"/>
      <w:start w:val="1"/>
    </w:lvl>
  </w:abstractNum>
  <w:abstractNum w:abstractNumId="49">
    <w:nsid w:val="6A5EE64"/>
    <w:multiLevelType w:val="hybridMultilevel"/>
    <w:lvl w:ilvl="0">
      <w:lvlJc w:val="left"/>
      <w:lvlText w:val="(%1)"/>
      <w:numFmt w:val="lowerLetter"/>
      <w:start w:val="3"/>
    </w:lvl>
  </w:abstractNum>
  <w:abstractNum w:abstractNumId="50">
    <w:nsid w:val="14330624"/>
    <w:multiLevelType w:val="hybridMultilevel"/>
    <w:lvl w:ilvl="0">
      <w:lvlJc w:val="left"/>
      <w:lvlText w:val="(%1)"/>
      <w:numFmt w:val="upperLetter"/>
      <w:start w:val="3"/>
    </w:lvl>
  </w:abstractNum>
  <w:abstractNum w:abstractNumId="51">
    <w:nsid w:val="7FFFCA11"/>
    <w:multiLevelType w:val="hybridMultilevel"/>
    <w:lvl w:ilvl="0">
      <w:lvlJc w:val="left"/>
      <w:lvlText w:val="%1"/>
      <w:numFmt w:val="lowerLetter"/>
      <w:start w:val="1"/>
    </w:lvl>
    <w:lvl w:ilvl="1">
      <w:lvlJc w:val="left"/>
      <w:lvlText w:val="(%2)"/>
      <w:numFmt w:val="lowerLetter"/>
      <w:start w:val="1"/>
    </w:lvl>
  </w:abstractNum>
  <w:abstractNum w:abstractNumId="52">
    <w:nsid w:val="1A27709E"/>
    <w:multiLevelType w:val="hybridMultilevel"/>
    <w:lvl w:ilvl="0">
      <w:lvlJc w:val="left"/>
      <w:lvlText w:val="(%1)"/>
      <w:numFmt w:val="lowerLetter"/>
      <w:start w:val="61"/>
    </w:lvl>
    <w:lvl w:ilvl="1">
      <w:lvlJc w:val="left"/>
      <w:lvlText w:val="%2"/>
      <w:numFmt w:val="lowerLetter"/>
      <w:start w:val="1"/>
    </w:lvl>
  </w:abstractNum>
  <w:abstractNum w:abstractNumId="53">
    <w:nsid w:val="71EA1109"/>
    <w:multiLevelType w:val="hybridMultilevel"/>
    <w:lvl w:ilvl="0">
      <w:lvlJc w:val="left"/>
      <w:lvlText w:val="(%1)"/>
      <w:numFmt w:val="lowerLetter"/>
      <w:start w:val="2"/>
    </w:lvl>
  </w:abstractNum>
  <w:abstractNum w:abstractNumId="54">
    <w:nsid w:val="100F59DC"/>
    <w:multiLevelType w:val="hybridMultilevel"/>
    <w:lvl w:ilvl="0">
      <w:lvlJc w:val="left"/>
      <w:lvlText w:val="%1"/>
      <w:numFmt w:val="upperLetter"/>
      <w:start w:val="1"/>
    </w:lvl>
    <w:lvl w:ilvl="1">
      <w:lvlJc w:val="left"/>
      <w:lvlText w:val="(%2)"/>
      <w:numFmt w:val="lowerLetter"/>
      <w:start w:val="1"/>
    </w:lvl>
  </w:abstractNum>
  <w:abstractNum w:abstractNumId="55">
    <w:nsid w:val="7FB7E0AA"/>
    <w:multiLevelType w:val="hybridMultilevel"/>
    <w:lvl w:ilvl="0">
      <w:lvlJc w:val="left"/>
      <w:lvlText w:val="(%1)"/>
      <w:numFmt w:val="upperLetter"/>
      <w:start w:val="1"/>
    </w:lvl>
    <w:lvl w:ilvl="1">
      <w:lvlJc w:val="left"/>
      <w:lvlText w:val="(%2)"/>
      <w:numFmt w:val="lowerLetter"/>
      <w:start w:val="2"/>
    </w:lvl>
  </w:abstractNum>
  <w:abstractNum w:abstractNumId="56">
    <w:nsid w:val="6EB5BD4"/>
    <w:multiLevelType w:val="hybridMultilevel"/>
    <w:lvl w:ilvl="0">
      <w:lvlJc w:val="left"/>
      <w:lvlText w:val="(%1)"/>
      <w:numFmt w:val="lowerLetter"/>
      <w:start w:val="3"/>
    </w:lvl>
  </w:abstractNum>
  <w:abstractNum w:abstractNumId="57">
    <w:nsid w:val="6F6DD9AC"/>
    <w:multiLevelType w:val="hybridMultilevel"/>
    <w:lvl w:ilvl="0">
      <w:lvlJc w:val="left"/>
      <w:lvlText w:val="(%1)"/>
      <w:numFmt w:val="lowerRoman"/>
      <w:start w:val="1"/>
    </w:lvl>
  </w:abstractNum>
  <w:abstractNum w:abstractNumId="58">
    <w:nsid w:val="94211F2"/>
    <w:multiLevelType w:val="hybridMultilevel"/>
    <w:lvl w:ilvl="0">
      <w:lvlJc w:val="left"/>
      <w:lvlText w:val="(%1)"/>
      <w:numFmt w:val="lowerLetter"/>
      <w:start w:val="2"/>
    </w:lvl>
  </w:abstractNum>
  <w:abstractNum w:abstractNumId="59">
    <w:nsid w:val="885E1B"/>
    <w:multiLevelType w:val="hybridMultilevel"/>
    <w:lvl w:ilvl="0">
      <w:lvlJc w:val="left"/>
      <w:lvlText w:val="(%1)"/>
      <w:numFmt w:val="lowerRoman"/>
      <w:start w:val="1"/>
    </w:lvl>
  </w:abstractNum>
  <w:abstractNum w:abstractNumId="60">
    <w:nsid w:val="76272110"/>
    <w:multiLevelType w:val="hybridMultilevel"/>
    <w:lvl w:ilvl="0">
      <w:lvlJc w:val="left"/>
      <w:lvlText w:val="(%1)"/>
      <w:numFmt w:val="lowerLetter"/>
      <w:start w:val="2"/>
    </w:lvl>
  </w:abstractNum>
  <w:abstractNum w:abstractNumId="61">
    <w:nsid w:val="4C04A8AF"/>
    <w:multiLevelType w:val="hybridMultilevel"/>
    <w:lvl w:ilvl="0">
      <w:lvlJc w:val="left"/>
      <w:lvlText w:val="(%1)"/>
      <w:numFmt w:val="lowerLetter"/>
      <w:start w:val="1"/>
    </w:lvl>
  </w:abstractNum>
  <w:abstractNum w:abstractNumId="62">
    <w:nsid w:val="1716703B"/>
    <w:multiLevelType w:val="hybridMultilevel"/>
    <w:lvl w:ilvl="0">
      <w:lvlJc w:val="left"/>
      <w:lvlText w:val="(%1)"/>
      <w:numFmt w:val="lowerLetter"/>
      <w:start w:val="3"/>
    </w:lvl>
  </w:abstractNum>
  <w:abstractNum w:abstractNumId="63">
    <w:nsid w:val="14E17E33"/>
    <w:multiLevelType w:val="hybridMultilevel"/>
    <w:lvl w:ilvl="0">
      <w:lvlJc w:val="left"/>
      <w:lvlText w:val="(%1)"/>
      <w:numFmt w:val="lowerLetter"/>
      <w:start w:val="1"/>
    </w:lvl>
  </w:abstractNum>
  <w:abstractNum w:abstractNumId="64">
    <w:nsid w:val="3222E7CD"/>
    <w:multiLevelType w:val="hybridMultilevel"/>
    <w:lvl w:ilvl="0">
      <w:lvlJc w:val="left"/>
      <w:lvlText w:val="%1"/>
      <w:numFmt w:val="lowerLetter"/>
      <w:start w:val="1"/>
    </w:lvl>
    <w:lvl w:ilvl="1">
      <w:lvlJc w:val="left"/>
      <w:lvlText w:val="(%2)"/>
      <w:numFmt w:val="lowerLetter"/>
      <w:start w:val="3"/>
    </w:lvl>
  </w:abstractNum>
  <w:abstractNum w:abstractNumId="65">
    <w:nsid w:val="74DE0EE3"/>
    <w:multiLevelType w:val="hybridMultilevel"/>
    <w:lvl w:ilvl="0">
      <w:lvlJc w:val="left"/>
      <w:lvlText w:val="(%1)"/>
      <w:numFmt w:val="lowerLetter"/>
      <w:start w:val="35"/>
    </w:lvl>
    <w:lvl w:ilvl="1">
      <w:lvlJc w:val="left"/>
      <w:lvlText w:val="(%2)"/>
      <w:numFmt w:val="lowerLetter"/>
      <w:start w:val="4"/>
    </w:lvl>
  </w:abstractNum>
  <w:abstractNum w:abstractNumId="66">
    <w:nsid w:val="68EBC550"/>
    <w:multiLevelType w:val="hybridMultilevel"/>
    <w:lvl w:ilvl="0">
      <w:lvlJc w:val="left"/>
      <w:lvlText w:val="(%1)"/>
      <w:numFmt w:val="lowerRoman"/>
      <w:start w:val="2"/>
    </w:lvl>
  </w:abstractNum>
  <w:abstractNum w:abstractNumId="67">
    <w:nsid w:val="2DF6D648"/>
    <w:multiLevelType w:val="hybridMultilevel"/>
    <w:lvl w:ilvl="0">
      <w:lvlJc w:val="left"/>
      <w:lvlText w:val="(%1)"/>
      <w:numFmt w:val="lowerRoman"/>
      <w:start w:val="2"/>
    </w:lvl>
  </w:abstractNum>
  <w:abstractNum w:abstractNumId="68">
    <w:nsid w:val="46B7D447"/>
    <w:multiLevelType w:val="hybridMultilevel"/>
    <w:lvl w:ilvl="0">
      <w:lvlJc w:val="left"/>
      <w:lvlText w:val="(%1)"/>
      <w:numFmt w:val="lowerRoman"/>
      <w:start w:val="4"/>
    </w:lvl>
  </w:abstractNum>
  <w:abstractNum w:abstractNumId="69">
    <w:nsid w:val="4A2AC315"/>
    <w:multiLevelType w:val="hybridMultilevel"/>
    <w:lvl w:ilvl="0">
      <w:lvlJc w:val="left"/>
      <w:lvlText w:val="(%1)"/>
      <w:numFmt w:val="lowerRoman"/>
      <w:start w:val="1"/>
    </w:lvl>
  </w:abstractNum>
  <w:abstractNum w:abstractNumId="70">
    <w:nsid w:val="39EE015C"/>
    <w:multiLevelType w:val="hybridMultilevel"/>
    <w:lvl w:ilvl="0">
      <w:lvlJc w:val="left"/>
      <w:lvlText w:val="(%1)"/>
      <w:numFmt w:val="lowerRoman"/>
      <w:start w:val="2"/>
    </w:lvl>
  </w:abstractNum>
  <w:abstractNum w:abstractNumId="71">
    <w:nsid w:val="57FC4FBB"/>
    <w:multiLevelType w:val="hybridMultilevel"/>
    <w:lvl w:ilvl="0">
      <w:lvlJc w:val="left"/>
      <w:lvlText w:val="(%1)"/>
      <w:numFmt w:val="lowerLetter"/>
      <w:start w:val="1"/>
    </w:lvl>
  </w:abstractNum>
  <w:abstractNum w:abstractNumId="72">
    <w:nsid w:val="CC1016F"/>
    <w:multiLevelType w:val="hybridMultilevel"/>
    <w:lvl w:ilvl="0">
      <w:lvlJc w:val="left"/>
      <w:lvlText w:val="(%1)"/>
      <w:numFmt w:val="lowerLetter"/>
      <w:start w:val="1"/>
    </w:lvl>
  </w:abstractNum>
  <w:abstractNum w:abstractNumId="73">
    <w:nsid w:val="43F18422"/>
    <w:multiLevelType w:val="hybridMultilevel"/>
    <w:lvl w:ilvl="0">
      <w:lvlJc w:val="left"/>
      <w:lvlText w:val="(%1)"/>
      <w:numFmt w:val="decimal"/>
      <w:start w:val="10"/>
    </w:lvl>
  </w:abstractNum>
  <w:abstractNum w:abstractNumId="74">
    <w:nsid w:val="60EF0119"/>
    <w:multiLevelType w:val="hybridMultilevel"/>
    <w:lvl w:ilvl="0">
      <w:lvlJc w:val="left"/>
      <w:lvlText w:val="(%1)"/>
      <w:numFmt w:val="decimal"/>
      <w:start w:val="1"/>
    </w:lvl>
  </w:abstractNum>
  <w:abstractNum w:abstractNumId="75">
    <w:nsid w:val="26F324BA"/>
    <w:multiLevelType w:val="hybridMultilevel"/>
    <w:lvl w:ilvl="0">
      <w:lvlJc w:val="left"/>
      <w:lvlText w:val="%1"/>
      <w:numFmt w:val="lowerRoman"/>
      <w:start w:val="1"/>
    </w:lvl>
    <w:lvl w:ilvl="1">
      <w:lvlJc w:val="left"/>
      <w:lvlText w:val="(%2)"/>
      <w:numFmt w:val="decimal"/>
      <w:start w:val="2"/>
    </w:lvl>
  </w:abstractNum>
  <w:abstractNum w:abstractNumId="76">
    <w:nsid w:val="7F01579B"/>
    <w:multiLevelType w:val="hybridMultilevel"/>
    <w:lvl w:ilvl="0">
      <w:lvlJc w:val="left"/>
      <w:lvlText w:val="(%1)"/>
      <w:numFmt w:val="lowerRoman"/>
      <w:start w:val="4"/>
    </w:lvl>
    <w:lvl w:ilvl="1">
      <w:lvlJc w:val="left"/>
      <w:lvlText w:val="%2"/>
      <w:numFmt w:val="decimal"/>
      <w:start w:val="1"/>
    </w:lvl>
  </w:abstractNum>
  <w:abstractNum w:abstractNumId="77">
    <w:nsid w:val="49DA307D"/>
    <w:multiLevelType w:val="hybridMultilevel"/>
    <w:lvl w:ilvl="0">
      <w:lvlJc w:val="left"/>
      <w:lvlText w:val="(%1)"/>
      <w:numFmt w:val="decimal"/>
      <w:start w:val="3"/>
    </w:lvl>
  </w:abstractNum>
  <w:abstractNum w:abstractNumId="78">
    <w:nsid w:val="7055A5F5"/>
    <w:multiLevelType w:val="hybridMultilevel"/>
    <w:lvl w:ilvl="0">
      <w:lvlJc w:val="left"/>
      <w:lvlText w:val="(%1)"/>
      <w:numFmt w:val="lowerRoman"/>
      <w:start w:val="2"/>
    </w:lvl>
    <w:lvl w:ilvl="1">
      <w:lvlJc w:val="left"/>
      <w:lvlText w:val="(%2)"/>
      <w:numFmt w:val="decimal"/>
      <w:start w:val="4"/>
    </w:lvl>
  </w:abstractNum>
  <w:abstractNum w:abstractNumId="79">
    <w:nsid w:val="5FB8370B"/>
    <w:multiLevelType w:val="hybridMultilevel"/>
    <w:lvl w:ilvl="0">
      <w:lvlJc w:val="left"/>
      <w:lvlText w:val="(%1)"/>
      <w:numFmt w:val="decimal"/>
      <w:start w:val="5"/>
    </w:lvl>
  </w:abstractNum>
  <w:abstractNum w:abstractNumId="80">
    <w:nsid w:val="50801EE1"/>
    <w:multiLevelType w:val="hybridMultilevel"/>
    <w:lvl w:ilvl="0">
      <w:lvlJc w:val="left"/>
      <w:lvlText w:val="(%1)"/>
      <w:numFmt w:val="decimal"/>
      <w:start w:val="7"/>
    </w:lvl>
  </w:abstractNum>
  <w:abstractNum w:abstractNumId="81">
    <w:nsid w:val="488AC1A"/>
    <w:multiLevelType w:val="hybridMultilevel"/>
    <w:lvl w:ilvl="0">
      <w:lvlJc w:val="left"/>
      <w:lvlText w:val="(%1)"/>
      <w:numFmt w:val="decimal"/>
      <w:start w:val="8"/>
    </w:lvl>
  </w:abstractNum>
  <w:abstractNum w:abstractNumId="82">
    <w:nsid w:val="5FB8011C"/>
    <w:multiLevelType w:val="hybridMultilevel"/>
    <w:lvl w:ilvl="0">
      <w:lvlJc w:val="left"/>
      <w:lvlText w:val="(%1)"/>
      <w:numFmt w:val="decimal"/>
      <w:start w:val="10"/>
    </w:lvl>
    <w:lvl w:ilvl="1">
      <w:lvlJc w:val="left"/>
      <w:lvlText w:val="(%2)"/>
      <w:numFmt w:val="lowerRoman"/>
      <w:start w:val="1"/>
    </w:lvl>
  </w:abstractNum>
  <w:abstractNum w:abstractNumId="83">
    <w:nsid w:val="6AA78F7F"/>
    <w:multiLevelType w:val="hybridMultilevel"/>
    <w:lvl w:ilvl="0">
      <w:lvlJc w:val="left"/>
      <w:lvlText w:val="(%1)"/>
      <w:numFmt w:val="lowerRoman"/>
      <w:start w:val="4"/>
    </w:lvl>
  </w:abstractNum>
  <w:abstractNum w:abstractNumId="84">
    <w:nsid w:val="7672BD23"/>
    <w:multiLevelType w:val="hybridMultilevel"/>
    <w:lvl w:ilvl="0">
      <w:lvlJc w:val="left"/>
      <w:lvlText w:val="(%1)"/>
      <w:numFmt w:val="lowerLetter"/>
      <w:start w:val="1"/>
    </w:lvl>
  </w:abstractNum>
  <w:abstractNum w:abstractNumId="85">
    <w:nsid w:val="6FC75AF8"/>
    <w:multiLevelType w:val="hybridMultilevel"/>
    <w:lvl w:ilvl="0">
      <w:lvlJc w:val="left"/>
      <w:lvlText w:val="(%1)"/>
      <w:numFmt w:val="lowerLetter"/>
      <w:start w:val="4"/>
    </w:lvl>
  </w:abstractNum>
  <w:abstractNum w:abstractNumId="86">
    <w:nsid w:val="6A5F7029"/>
    <w:multiLevelType w:val="hybridMultilevel"/>
    <w:lvl w:ilvl="0">
      <w:lvlJc w:val="left"/>
      <w:lvlText w:val="(%1)"/>
      <w:numFmt w:val="decimal"/>
      <w:start w:val="12"/>
    </w:lvl>
  </w:abstractNum>
  <w:abstractNum w:abstractNumId="87">
    <w:nsid w:val="7D5E18F8"/>
    <w:multiLevelType w:val="hybridMultilevel"/>
    <w:lvl w:ilvl="0">
      <w:lvlJc w:val="left"/>
      <w:lvlText w:val="(%1)"/>
      <w:numFmt w:val="decimal"/>
      <w:start w:val="14"/>
    </w:lvl>
  </w:abstractNum>
  <w:abstractNum w:abstractNumId="88">
    <w:nsid w:val="5F3534A4"/>
    <w:multiLevelType w:val="hybridMultilevel"/>
    <w:lvl w:ilvl="0">
      <w:lvlJc w:val="left"/>
      <w:lvlText w:val="(%1)"/>
      <w:numFmt w:val="decimal"/>
      <w:start w:val="15"/>
    </w:lvl>
  </w:abstractNum>
  <w:abstractNum w:abstractNumId="89">
    <w:nsid w:val="73A1821B"/>
    <w:multiLevelType w:val="hybridMultilevel"/>
    <w:lvl w:ilvl="0">
      <w:lvlJc w:val="left"/>
      <w:lvlText w:val="(%1)"/>
      <w:numFmt w:val="lowerLetter"/>
      <w:start w:val="1"/>
    </w:lvl>
  </w:abstractNum>
  <w:abstractNum w:abstractNumId="90">
    <w:nsid w:val="7DE67713"/>
    <w:multiLevelType w:val="hybridMultilevel"/>
    <w:lvl w:ilvl="0">
      <w:lvlJc w:val="left"/>
      <w:lvlText w:val="(%1)"/>
      <w:numFmt w:val="lowerLetter"/>
      <w:start w:val="2"/>
    </w:lvl>
  </w:abstractNum>
  <w:abstractNum w:abstractNumId="91">
    <w:nsid w:val="555C55B5"/>
    <w:multiLevelType w:val="hybridMultilevel"/>
    <w:lvl w:ilvl="0">
      <w:lvlJc w:val="left"/>
      <w:lvlText w:val="(%1)"/>
      <w:numFmt w:val="lowerLetter"/>
      <w:start w:val="1"/>
    </w:lvl>
  </w:abstractNum>
  <w:abstractNum w:abstractNumId="92">
    <w:nsid w:val="3FA62ACA"/>
    <w:multiLevelType w:val="hybridMultilevel"/>
    <w:lvl w:ilvl="0">
      <w:lvlJc w:val="left"/>
      <w:lvlText w:val="(%1)"/>
      <w:numFmt w:val="lowerLetter"/>
      <w:start w:val="3"/>
    </w:lvl>
  </w:abstractNum>
  <w:abstractNum w:abstractNumId="93">
    <w:nsid w:val="14FCE74E"/>
    <w:multiLevelType w:val="hybridMultilevel"/>
    <w:lvl w:ilvl="0">
      <w:lvlJc w:val="left"/>
      <w:lvlText w:val="(%1)"/>
      <w:numFmt w:val="lowerLetter"/>
      <w:start w:val="5"/>
    </w:lvl>
  </w:abstractNum>
  <w:abstractNum w:abstractNumId="94">
    <w:nsid w:val="6A3DD3E8"/>
    <w:multiLevelType w:val="hybridMultilevel"/>
    <w:lvl w:ilvl="0">
      <w:lvlJc w:val="left"/>
      <w:lvlText w:val="(%1)"/>
      <w:numFmt w:val="decimal"/>
      <w:start w:val="16"/>
    </w:lvl>
  </w:abstractNum>
  <w:abstractNum w:abstractNumId="95">
    <w:nsid w:val="71C91298"/>
    <w:multiLevelType w:val="hybridMultilevel"/>
    <w:lvl w:ilvl="0">
      <w:lvlJc w:val="left"/>
      <w:lvlText w:val="%1"/>
      <w:numFmt w:val="lowerLetter"/>
      <w:start w:val="1"/>
    </w:lvl>
    <w:lvl w:ilvl="1">
      <w:lvlJc w:val="left"/>
      <w:lvlText w:val="(%2)"/>
      <w:numFmt w:val="decimal"/>
      <w:start w:val="17"/>
    </w:lvl>
  </w:abstractNum>
  <w:abstractNum w:abstractNumId="96">
    <w:nsid w:val="9DAF632"/>
    <w:multiLevelType w:val="hybridMultilevel"/>
    <w:lvl w:ilvl="0">
      <w:lvlJc w:val="left"/>
      <w:lvlText w:val="(%1)"/>
      <w:numFmt w:val="lowerLetter"/>
      <w:start w:val="2"/>
    </w:lvl>
    <w:lvl w:ilvl="1">
      <w:lvlJc w:val="left"/>
      <w:lvlText w:val="%2"/>
      <w:numFmt w:val="decimal"/>
      <w:start w:val="1"/>
    </w:lvl>
  </w:abstractNum>
  <w:abstractNum w:abstractNumId="97">
    <w:nsid w:val="53299938"/>
    <w:multiLevelType w:val="hybridMultilevel"/>
    <w:lvl w:ilvl="0">
      <w:lvlJc w:val="left"/>
      <w:lvlText w:val="(%1)"/>
      <w:numFmt w:val="lowerRoman"/>
      <w:start w:val="2"/>
    </w:lvl>
  </w:abstractNum>
  <w:abstractNum w:abstractNumId="98">
    <w:nsid w:val="1FBFE8E0"/>
    <w:multiLevelType w:val="hybridMultilevel"/>
    <w:lvl w:ilvl="0">
      <w:lvlJc w:val="left"/>
      <w:lvlText w:val="%1"/>
      <w:numFmt w:val="lowerRoman"/>
      <w:start w:val="1"/>
    </w:lvl>
    <w:lvl w:ilvl="1">
      <w:lvlJc w:val="left"/>
      <w:lvlText w:val="(%2)"/>
      <w:numFmt w:val="decimal"/>
      <w:start w:val="19"/>
    </w:lvl>
  </w:abstractNum>
  <w:abstractNum w:abstractNumId="99">
    <w:nsid w:val="5092CA79"/>
    <w:multiLevelType w:val="hybridMultilevel"/>
    <w:lvl w:ilvl="0">
      <w:lvlJc w:val="left"/>
      <w:lvlText w:val="(%1)"/>
      <w:numFmt w:val="lowerRoman"/>
      <w:start w:val="2"/>
    </w:lvl>
    <w:lvl w:ilvl="1">
      <w:lvlJc w:val="left"/>
      <w:lvlText w:val="(%2)"/>
      <w:numFmt w:val="decimal"/>
      <w:start w:val="20"/>
    </w:lvl>
  </w:abstractNum>
  <w:abstractNum w:abstractNumId="100">
    <w:nsid w:val="1D545C4D"/>
    <w:multiLevelType w:val="hybridMultilevel"/>
    <w:lvl w:ilvl="0">
      <w:lvlJc w:val="left"/>
      <w:lvlText w:val="(%1)"/>
      <w:numFmt w:val="lowerRoman"/>
      <w:start w:val="6"/>
    </w:lvl>
    <w:lvl w:ilvl="1">
      <w:lvlJc w:val="left"/>
      <w:lvlText w:val="%2"/>
      <w:numFmt w:val="decimal"/>
      <w:start w:val="1"/>
    </w:lvl>
  </w:abstractNum>
  <w:abstractNum w:abstractNumId="101">
    <w:nsid w:val="59ADEA3D"/>
    <w:multiLevelType w:val="hybridMultilevel"/>
    <w:lvl w:ilvl="0">
      <w:lvlJc w:val="left"/>
      <w:lvlText w:val="(%1)"/>
      <w:numFmt w:val="decimal"/>
      <w:start w:val="21"/>
    </w:lvl>
  </w:abstractNum>
  <w:abstractNum w:abstractNumId="102">
    <w:nsid w:val="288F1A34"/>
    <w:multiLevelType w:val="hybridMultilevel"/>
    <w:lvl w:ilvl="0">
      <w:lvlJc w:val="left"/>
      <w:lvlText w:val="(%1)"/>
      <w:numFmt w:val="decimal"/>
      <w:start w:val="22"/>
    </w:lvl>
  </w:abstractNum>
  <w:abstractNum w:abstractNumId="103">
    <w:nsid w:val="2A155DBC"/>
    <w:multiLevelType w:val="hybridMultilevel"/>
    <w:lvl w:ilvl="0">
      <w:lvlJc w:val="left"/>
      <w:lvlText w:val="%1"/>
      <w:numFmt w:val="lowerRoman"/>
      <w:start w:val="1"/>
    </w:lvl>
    <w:lvl w:ilvl="1">
      <w:lvlJc w:val="left"/>
      <w:lvlText w:val="(%2)"/>
      <w:numFmt w:val="decimal"/>
      <w:start w:val="23"/>
    </w:lvl>
  </w:abstractNum>
  <w:abstractNum w:abstractNumId="104">
    <w:nsid w:val="1D9F6E5F"/>
    <w:multiLevelType w:val="hybridMultilevel"/>
    <w:lvl w:ilvl="0">
      <w:lvlJc w:val="left"/>
      <w:lvlText w:val="(%1)"/>
      <w:numFmt w:val="lowerRoman"/>
      <w:start w:val="1"/>
    </w:lvl>
    <w:lvl w:ilvl="1">
      <w:lvlJc w:val="left"/>
      <w:lvlText w:val="%2"/>
      <w:numFmt w:val="decimal"/>
      <w:start w:val="1"/>
    </w:lvl>
  </w:abstractNum>
  <w:abstractNum w:abstractNumId="105">
    <w:nsid w:val="97E1B4E"/>
    <w:multiLevelType w:val="hybridMultilevel"/>
    <w:lvl w:ilvl="0">
      <w:lvlJc w:val="left"/>
      <w:lvlText w:val="(%1)"/>
      <w:numFmt w:val="lowerRoman"/>
      <w:start w:val="1"/>
    </w:lvl>
    <w:lvl w:ilvl="1">
      <w:lvlJc w:val="left"/>
      <w:lvlText w:val="%2"/>
      <w:numFmt w:val="decimal"/>
      <w:start w:val="1"/>
    </w:lvl>
  </w:abstractNum>
  <w:abstractNum w:abstractNumId="106">
    <w:nsid w:val="51088277"/>
    <w:multiLevelType w:val="hybridMultilevel"/>
    <w:lvl w:ilvl="0">
      <w:lvlJc w:val="left"/>
      <w:lvlText w:val="(%1)"/>
      <w:numFmt w:val="decimal"/>
      <w:start w:val="25"/>
    </w:lvl>
  </w:abstractNum>
  <w:abstractNum w:abstractNumId="107">
    <w:nsid w:val="1CA0C5FA"/>
    <w:multiLevelType w:val="hybridMultilevel"/>
    <w:lvl w:ilvl="0">
      <w:lvlJc w:val="left"/>
      <w:lvlText w:val="(%1)"/>
      <w:numFmt w:val="lowerLetter"/>
      <w:start w:val="2"/>
    </w:lvl>
  </w:abstractNum>
  <w:abstractNum w:abstractNumId="108">
    <w:nsid w:val="53584BCB"/>
    <w:multiLevelType w:val="hybridMultilevel"/>
    <w:lvl w:ilvl="0">
      <w:lvlJc w:val="left"/>
      <w:lvlText w:val="%1"/>
      <w:numFmt w:val="lowerRoman"/>
      <w:start w:val="1"/>
    </w:lvl>
    <w:lvl w:ilvl="1">
      <w:lvlJc w:val="left"/>
      <w:lvlText w:val="(%2)"/>
      <w:numFmt w:val="decimal"/>
      <w:start w:val="26"/>
    </w:lvl>
  </w:abstractNum>
  <w:abstractNum w:abstractNumId="109">
    <w:nsid w:val="415E286C"/>
    <w:multiLevelType w:val="hybridMultilevel"/>
    <w:lvl w:ilvl="0">
      <w:lvlJc w:val="left"/>
      <w:lvlText w:val="(%1)"/>
      <w:numFmt w:val="lowerRoman"/>
      <w:start w:val="4"/>
    </w:lvl>
    <w:lvl w:ilvl="1">
      <w:lvlJc w:val="left"/>
      <w:lvlText w:val="(%2)"/>
      <w:numFmt w:val="decimal"/>
      <w:start w:val="27"/>
    </w:lvl>
  </w:abstractNum>
  <w:abstractNum w:abstractNumId="110">
    <w:nsid w:val="7C58FD05"/>
    <w:multiLevelType w:val="hybridMultilevel"/>
    <w:lvl w:ilvl="0">
      <w:lvlJc w:val="left"/>
      <w:lvlText w:val="%1."/>
      <w:numFmt w:val="upperLetter"/>
      <w:start w:val="9"/>
    </w:lvl>
  </w:abstractNum>
  <w:abstractNum w:abstractNumId="111">
    <w:nsid w:val="23D86AAC"/>
    <w:multiLevelType w:val="hybridMultilevel"/>
    <w:lvl w:ilvl="0">
      <w:lvlJc w:val="left"/>
      <w:lvlText w:val="%1."/>
      <w:numFmt w:val="upperLetter"/>
      <w:start w:val="35"/>
    </w:lvl>
  </w:abstractNum>
  <w:abstractNum w:abstractNumId="112">
    <w:nsid w:val="45E6D48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2026-05-22T11:24:27Z</dcterms:created>
  <dcterms:modified xsi:type="dcterms:W3CDTF">2026-05-22T11:24:27Z</dcterms:modified>
</cp:coreProperties>
</file>