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Pursuant to Rule 424(b)(3)</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Registration Statement on Form F-6</w:t>
      </w:r>
    </w:p>
    <w:p>
      <w:pPr>
        <w:jc w:val="right"/>
        <w:spacing w:after="0"/>
        <w:rPr>
          <w:sz w:val="20"/>
          <w:szCs w:val="20"/>
          <w:color w:val="auto"/>
        </w:rPr>
      </w:pPr>
      <w:r>
        <w:rPr>
          <w:rFonts w:ascii="Times New Roman" w:cs="Times New Roman" w:eastAsia="Times New Roman" w:hAnsi="Times New Roman"/>
          <w:sz w:val="22"/>
          <w:szCs w:val="22"/>
          <w:color w:val="auto"/>
        </w:rPr>
        <w:t>Registration No. 333-249809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463" w:right="339" w:bottom="1440" w:gutter="0" w:footer="0" w:header="0"/>
        </w:sect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_______</w:t>
      </w:r>
    </w:p>
    <w:p>
      <w:pPr>
        <w:spacing w:after="0" w:line="27" w:lineRule="exact"/>
        <w:rPr>
          <w:sz w:val="24"/>
          <w:szCs w:val="24"/>
          <w:color w:val="auto"/>
        </w:rPr>
      </w:pPr>
    </w:p>
    <w:p>
      <w:pPr>
        <w:sectPr>
          <w:pgSz w:w="11900" w:h="16838" w:orient="portrait"/>
          <w:cols w:equalWidth="0" w:num="2">
            <w:col w:w="8420" w:space="720"/>
            <w:col w:w="2100"/>
          </w:cols>
          <w:pgMar w:left="320" w:top="4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4"/>
          <w:szCs w:val="24"/>
          <w:color w:val="auto"/>
        </w:rPr>
      </w:pPr>
    </w:p>
    <w:p>
      <w:pPr>
        <w:ind w:left="7320"/>
        <w:spacing w:after="0"/>
        <w:tabs>
          <w:tab w:leader="none" w:pos="8220" w:val="left"/>
          <w:tab w:leader="none" w:pos="9220" w:val="left"/>
          <w:tab w:leader="none" w:pos="9900" w:val="left"/>
          <w:tab w:leader="none" w:pos="10500" w:val="left"/>
        </w:tabs>
        <w:rPr>
          <w:sz w:val="20"/>
          <w:szCs w:val="20"/>
          <w:color w:val="auto"/>
        </w:rPr>
      </w:pPr>
      <w:r>
        <w:rPr>
          <w:rFonts w:ascii="Times New Roman" w:cs="Times New Roman" w:eastAsia="Times New Roman" w:hAnsi="Times New Roman"/>
          <w:sz w:val="18"/>
          <w:szCs w:val="18"/>
          <w:color w:val="auto"/>
        </w:rPr>
        <w:t>American</w:t>
        <w:tab/>
        <w:t>Depositary</w:t>
        <w:tab/>
        <w:t>Shares</w:t>
        <w:tab/>
        <w:t>(each</w:t>
        <w:tab/>
        <w:t>American</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Share representing the right to receive ten</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(10) fully paid ordinary shares)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250" w:lineRule="auto"/>
        <w:rPr>
          <w:sz w:val="20"/>
          <w:szCs w:val="20"/>
          <w:color w:val="auto"/>
        </w:rPr>
      </w:pPr>
      <w:r>
        <w:rPr>
          <w:rFonts w:ascii="Times New Roman" w:cs="Times New Roman" w:eastAsia="Times New Roman" w:hAnsi="Times New Roman"/>
          <w:sz w:val="18"/>
          <w:szCs w:val="18"/>
          <w:color w:val="auto"/>
        </w:rPr>
        <w:t>deposited ordinary shares, including evidence of rights to receive such ordinary shares (the “Shares”), of PureTech Health plc, a public limited company incorporated under the laws of England and Wales (the “Company”). As of the date of issuance of this ADR, each ADS represents the right to receive ten</w:t>
      </w:r>
    </w:p>
    <w:p>
      <w:pPr>
        <w:spacing w:after="0" w:line="1" w:lineRule="exact"/>
        <w:rPr>
          <w:sz w:val="24"/>
          <w:szCs w:val="24"/>
          <w:color w:val="auto"/>
        </w:rPr>
      </w:pPr>
    </w:p>
    <w:p>
      <w:pPr>
        <w:jc w:val="both"/>
        <w:ind w:firstLine="8"/>
        <w:spacing w:after="0" w:line="255" w:lineRule="auto"/>
        <w:tabs>
          <w:tab w:leader="none" w:pos="3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both"/>
        <w:ind w:firstLine="656"/>
        <w:spacing w:after="0" w:line="253" w:lineRule="auto"/>
        <w:tabs>
          <w:tab w:leader="none" w:pos="9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November 11, 2020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ind w:firstLine="656"/>
        <w:spacing w:after="0" w:line="254" w:lineRule="auto"/>
        <w:tabs>
          <w:tab w:leader="none" w:pos="94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5" w:lineRule="auto"/>
        <w:tabs>
          <w:tab w:leader="none" w:pos="97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4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the Company may restrict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jc w:val="both"/>
        <w:ind w:firstLine="656"/>
        <w:spacing w:after="0" w:line="256" w:lineRule="auto"/>
        <w:tabs>
          <w:tab w:leader="none" w:pos="96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ind w:firstLine="656"/>
        <w:spacing w:after="0" w:line="253" w:lineRule="auto"/>
        <w:tabs>
          <w:tab w:leader="none" w:pos="9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transactions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656"/>
        <w:spacing w:after="0" w:line="252" w:lineRule="auto"/>
        <w:tabs>
          <w:tab w:leader="none" w:pos="107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0"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left="1960" w:hanging="656"/>
        <w:spacing w:after="0" w:line="282"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left="1960" w:hanging="656"/>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656"/>
        <w:spacing w:after="0" w:line="253" w:lineRule="auto"/>
        <w:tabs>
          <w:tab w:leader="none" w:pos="109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in the past been subject to the periodic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Exchange Act, and has filed certain reports with, and submitted certain information to, the Commission, which reports can be retrieved from the Commission’s website at www.sec.gov, and can be inspected and copied at the public reference facilities maintained by the Commission located at 100 F Street, N.E., Washington D.C. 20549. The Company has filed a Form 15F with the Commission to terminate the registration of its securities under the Exchange Act and its reporting obligations under Sections 13(a) and 15(d) of the Exchange Act. Upon filing of Form 15F, the Company’s obligation under the Exchange Act was suspended. Upon effectiveness of Form 15F, the Company’s duty to file or submit reports under Section 13(a) and 15(d) of the Exchange Act will terminate. Pursuant to Rule 12g3-2(b)(1) promulgated under the Exchange Act, the Company is exempt from the reporting obligations of the Exchange Act. In order to satisfy the conditions of Rule 12g3-2(b) and to maintain the exemption from registration, the Company published in English the information contemplated in Rule 12g3-2(b)(2)(i) under the Exchange Act on its internet website or through an electronic information delivery system generally available to the public in the Company’s primary trading market. The Company has specified in Form 15F, https://puretechhealth.com, as the internet website or the electronic information delivery system on which it will publish such information. The information so published by the Company cannot be retrieved from the Commission’s internet website, and cannot be inspected or copied at the public reference facilities maintained by the Commission. If the Form 15F does not become effective, the Company will again be subject to the periodic reporting requirements of the Exchange Act and will be required to file with the Commission, and submit to the Commission, certain reports that can be retrieved from the Commission’s internet website at www.sec.gov, and can be inspected and copied at the public facilities maintained by the Commission.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0139"/>
          </w:cols>
          <w:pgMar w:left="320" w:top="796"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4519"/>
          </w:cols>
          <w:pgMar w:left="320" w:top="79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4519"/>
          </w:cols>
          <w:pgMar w:left="320" w:top="796" w:right="1440" w:bottom="1440" w:gutter="0" w:footer="0" w:header="0"/>
          <w:type w:val="continuous"/>
        </w:sectPr>
      </w:pPr>
    </w:p>
    <w:p>
      <w:pPr>
        <w:spacing w:after="0" w:line="2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of a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ind w:firstLine="656"/>
        <w:spacing w:after="0" w:line="254" w:lineRule="auto"/>
        <w:tabs>
          <w:tab w:leader="none" w:pos="9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after consultation with the Company to the extent reasonably practicable,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w:t>
      </w:r>
    </w:p>
    <w:p>
      <w:pPr>
        <w:spacing w:after="0" w:line="5" w:lineRule="exact"/>
        <w:rPr>
          <w:sz w:val="20"/>
          <w:szCs w:val="20"/>
          <w:color w:val="auto"/>
        </w:rPr>
      </w:pPr>
    </w:p>
    <w:p>
      <w:pPr>
        <w:jc w:val="both"/>
        <w:ind w:firstLine="8"/>
        <w:spacing w:after="0" w:line="252" w:lineRule="auto"/>
        <w:tabs>
          <w:tab w:leader="none" w:pos="2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firstLine="656"/>
        <w:spacing w:after="0" w:line="252"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656"/>
        <w:spacing w:after="0" w:line="254"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after consultation between the Depositary and the Custodian,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656"/>
        <w:spacing w:after="0" w:line="253" w:lineRule="auto"/>
        <w:tabs>
          <w:tab w:leader="none" w:pos="107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ind w:firstLine="656"/>
        <w:spacing w:after="0" w:line="254" w:lineRule="auto"/>
        <w:tabs>
          <w:tab w:leader="none" w:pos="1051"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provide that voting at any meeting of shareholders is by show of hands unless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jc w:val="both"/>
        <w:ind w:firstLine="8"/>
        <w:spacing w:after="0" w:line="252" w:lineRule="auto"/>
        <w:tabs>
          <w:tab w:leader="none" w:pos="2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656"/>
        <w:spacing w:after="0" w:line="253" w:lineRule="auto"/>
        <w:tabs>
          <w:tab w:leader="none" w:pos="1092"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103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which is inconsistent with the provisions of the Deposit Agreement or incur any liability (to the extent not limited by paragraph (25) hereof and Section 7.8 (b)) (i)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w:t>
      </w:r>
    </w:p>
    <w:p>
      <w:pPr>
        <w:spacing w:after="0" w:line="1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firstLine="656"/>
        <w:spacing w:after="0" w:line="255" w:lineRule="auto"/>
        <w:tabs>
          <w:tab w:leader="none" w:pos="107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76" w:lineRule="exact"/>
        <w:rPr>
          <w:sz w:val="20"/>
          <w:szCs w:val="20"/>
          <w:color w:val="auto"/>
        </w:rPr>
      </w:pPr>
    </w:p>
    <w:p>
      <w:pPr>
        <w:jc w:val="both"/>
        <w:ind w:firstLine="656"/>
        <w:spacing w:after="0" w:line="252" w:lineRule="auto"/>
        <w:tabs>
          <w:tab w:leader="none" w:pos="111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56"/>
        <w:spacing w:after="0" w:line="252" w:lineRule="auto"/>
        <w:tabs>
          <w:tab w:leader="none" w:pos="110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ind w:firstLine="656"/>
        <w:spacing w:after="0" w:line="252" w:lineRule="auto"/>
        <w:tabs>
          <w:tab w:leader="none" w:pos="1065"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7" w:lineRule="exact"/>
        <w:rPr>
          <w:rFonts w:ascii="Times New Roman" w:cs="Times New Roman" w:eastAsia="Times New Roman" w:hAnsi="Times New Roman"/>
          <w:sz w:val="18"/>
          <w:szCs w:val="18"/>
          <w:b w:val="1"/>
          <w:bCs w:val="1"/>
          <w:color w:val="auto"/>
        </w:rPr>
      </w:pPr>
    </w:p>
    <w:p>
      <w:pPr>
        <w:jc w:val="both"/>
        <w:ind w:firstLine="8"/>
        <w:spacing w:after="0" w:line="250" w:lineRule="auto"/>
        <w:tabs>
          <w:tab w:leader="none" w:pos="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56"/>
        <w:spacing w:after="0" w:line="268" w:lineRule="auto"/>
        <w:tabs>
          <w:tab w:leader="none" w:pos="109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9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1051"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6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4760" w:type="dxa"/>
            <w:vAlign w:val="bottom"/>
            <w:vMerge w:val="continue"/>
          </w:tcPr>
          <w:p>
            <w:pPr>
              <w:spacing w:after="0"/>
              <w:rPr>
                <w:sz w:val="17"/>
                <w:szCs w:val="17"/>
                <w:color w:val="auto"/>
              </w:rPr>
            </w:pP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48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0"/>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lowerRoman"/>
      <w:start w:val="1"/>
    </w:lvl>
    <w:lvl w:ilvl="1">
      <w:lvlJc w:val="left"/>
      <w:lvlText w:val="(%2)"/>
      <w:numFmt w:val="decimal"/>
      <w:start w:val="2"/>
    </w:lvl>
  </w:abstractNum>
  <w:abstractNum w:abstractNumId="3">
    <w:nsid w:val="333AB105"/>
    <w:multiLevelType w:val="hybridMultilevel"/>
    <w:lvl w:ilvl="0">
      <w:lvlJc w:val="left"/>
      <w:lvlText w:val="(%1)"/>
      <w:numFmt w:val="lowerRoman"/>
      <w:start w:val="4"/>
    </w:lvl>
    <w:lvl w:ilvl="1">
      <w:lvlJc w:val="left"/>
      <w:lvlText w:val="%2"/>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lowerRoman"/>
      <w:start w:val="2"/>
    </w:lvl>
    <w:lvl w:ilvl="1">
      <w:lvlJc w:val="left"/>
      <w:lvlText w:val="(%2)"/>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7"/>
    </w:lvl>
  </w:abstractNum>
  <w:abstractNum w:abstractNumId="8">
    <w:nsid w:val="75A2A8D4"/>
    <w:multiLevelType w:val="hybridMultilevel"/>
    <w:lvl w:ilvl="0">
      <w:lvlJc w:val="left"/>
      <w:lvlText w:val="(%1)"/>
      <w:numFmt w:val="decimal"/>
      <w:start w:val="8"/>
    </w:lvl>
  </w:abstractNum>
  <w:abstractNum w:abstractNumId="9">
    <w:nsid w:val="8EDBDAB"/>
    <w:multiLevelType w:val="hybridMultilevel"/>
    <w:lvl w:ilvl="0">
      <w:lvlJc w:val="left"/>
      <w:lvlText w:val="(%1)"/>
      <w:numFmt w:val="decimal"/>
      <w:start w:val="10"/>
    </w:lvl>
    <w:lvl w:ilvl="1">
      <w:lvlJc w:val="left"/>
      <w:lvlText w:val="(%2)"/>
      <w:numFmt w:val="lowerRoman"/>
      <w:start w:val="1"/>
    </w:lvl>
  </w:abstractNum>
  <w:abstractNum w:abstractNumId="10">
    <w:nsid w:val="79838CB2"/>
    <w:multiLevelType w:val="hybridMultilevel"/>
    <w:lvl w:ilvl="0">
      <w:lvlJc w:val="left"/>
      <w:lvlText w:val="(%1)"/>
      <w:numFmt w:val="lowerRoman"/>
      <w:start w:val="3"/>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3"/>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4"/>
    </w:lvl>
  </w:abstractNum>
  <w:abstractNum w:abstractNumId="15">
    <w:nsid w:val="71F32454"/>
    <w:multiLevelType w:val="hybridMultilevel"/>
    <w:lvl w:ilvl="0">
      <w:lvlJc w:val="left"/>
      <w:lvlText w:val="(%1)"/>
      <w:numFmt w:val="decimal"/>
      <w:start w:val="15"/>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3"/>
    </w:lvl>
  </w:abstractNum>
  <w:abstractNum w:abstractNumId="20">
    <w:nsid w:val="8138641"/>
    <w:multiLevelType w:val="hybridMultilevel"/>
    <w:lvl w:ilvl="0">
      <w:lvlJc w:val="left"/>
      <w:lvlText w:val="(%1)"/>
      <w:numFmt w:val="lowerLetter"/>
      <w:start w:val="5"/>
    </w:lvl>
  </w:abstractNum>
  <w:abstractNum w:abstractNumId="21">
    <w:nsid w:val="1E7FF521"/>
    <w:multiLevelType w:val="hybridMultilevel"/>
    <w:lvl w:ilvl="0">
      <w:lvlJc w:val="left"/>
      <w:lvlText w:val="(%1)"/>
      <w:numFmt w:val="decimal"/>
      <w:start w:val="16"/>
    </w:lvl>
  </w:abstractNum>
  <w:abstractNum w:abstractNumId="22">
    <w:nsid w:val="7C3DBD3D"/>
    <w:multiLevelType w:val="hybridMultilevel"/>
    <w:lvl w:ilvl="0">
      <w:lvlJc w:val="left"/>
      <w:lvlText w:val="(%1)"/>
      <w:numFmt w:val="decimal"/>
      <w:start w:val="17"/>
    </w:lvl>
  </w:abstractNum>
  <w:abstractNum w:abstractNumId="23">
    <w:nsid w:val="737B8DDC"/>
    <w:multiLevelType w:val="hybridMultilevel"/>
    <w:lvl w:ilvl="0">
      <w:lvlJc w:val="left"/>
      <w:lvlText w:val="%1"/>
      <w:numFmt w:val="lowerLetter"/>
      <w:start w:val="1"/>
    </w:lvl>
    <w:lvl w:ilvl="1">
      <w:lvlJc w:val="left"/>
      <w:lvlText w:val="(%2)"/>
      <w:numFmt w:val="decimal"/>
      <w:start w:val="18"/>
    </w:lvl>
  </w:abstractNum>
  <w:abstractNum w:abstractNumId="24">
    <w:nsid w:val="6CEAF087"/>
    <w:multiLevelType w:val="hybridMultilevel"/>
    <w:lvl w:ilvl="0">
      <w:lvlJc w:val="left"/>
      <w:lvlText w:val="(%1)"/>
      <w:numFmt w:val="lowerLetter"/>
      <w:start w:val="2"/>
    </w:lvl>
    <w:lvl w:ilvl="1">
      <w:lvlJc w:val="left"/>
      <w:lvlText w:val="%2"/>
      <w:numFmt w:val="decimal"/>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lowerRoman"/>
      <w:start w:val="1"/>
    </w:lvl>
    <w:lvl w:ilvl="1">
      <w:lvlJc w:val="left"/>
      <w:lvlText w:val="(%2)"/>
      <w:numFmt w:val="decimal"/>
      <w:start w:val="19"/>
    </w:lvl>
  </w:abstractNum>
  <w:abstractNum w:abstractNumId="27">
    <w:nsid w:val="3006C83E"/>
    <w:multiLevelType w:val="hybridMultilevel"/>
    <w:lvl w:ilvl="0">
      <w:lvlJc w:val="left"/>
      <w:lvlText w:val="(%1)"/>
      <w:numFmt w:val="lowerRoman"/>
      <w:start w:val="2"/>
    </w:lvl>
    <w:lvl w:ilvl="1">
      <w:lvlJc w:val="left"/>
      <w:lvlText w:val="(%2)"/>
      <w:numFmt w:val="decimal"/>
      <w:start w:val="20"/>
    </w:lvl>
  </w:abstractNum>
  <w:abstractNum w:abstractNumId="28">
    <w:nsid w:val="614FD4A1"/>
    <w:multiLevelType w:val="hybridMultilevel"/>
    <w:lvl w:ilvl="0">
      <w:lvlJc w:val="left"/>
      <w:lvlText w:val="(%1)"/>
      <w:numFmt w:val="lowerRoman"/>
      <w:start w:val="6"/>
    </w:lvl>
    <w:lvl w:ilvl="1">
      <w:lvlJc w:val="left"/>
      <w:lvlText w:val="%2"/>
      <w:numFmt w:val="decimal"/>
      <w:start w:val="1"/>
    </w:lvl>
  </w:abstractNum>
  <w:abstractNum w:abstractNumId="29">
    <w:nsid w:val="419AC241"/>
    <w:multiLevelType w:val="hybridMultilevel"/>
    <w:lvl w:ilvl="0">
      <w:lvlJc w:val="left"/>
      <w:lvlText w:val="(%1)"/>
      <w:numFmt w:val="decimal"/>
      <w:start w:val="21"/>
    </w:lvl>
  </w:abstractNum>
  <w:abstractNum w:abstractNumId="30">
    <w:nsid w:val="5577F8E1"/>
    <w:multiLevelType w:val="hybridMultilevel"/>
    <w:lvl w:ilvl="0">
      <w:lvlJc w:val="left"/>
      <w:lvlText w:val="(%1)"/>
      <w:numFmt w:val="decimal"/>
      <w:start w:val="22"/>
    </w:lvl>
  </w:abstractNum>
  <w:abstractNum w:abstractNumId="31">
    <w:nsid w:val="440BADFC"/>
    <w:multiLevelType w:val="hybridMultilevel"/>
    <w:lvl w:ilvl="0">
      <w:lvlJc w:val="left"/>
      <w:lvlText w:val="(%1)"/>
      <w:numFmt w:val="decimal"/>
      <w:start w:val="23"/>
    </w:lvl>
  </w:abstractNum>
  <w:abstractNum w:abstractNumId="32">
    <w:nsid w:val="5072367"/>
    <w:multiLevelType w:val="hybridMultilevel"/>
    <w:lvl w:ilvl="0">
      <w:lvlJc w:val="left"/>
      <w:lvlText w:val="%1"/>
      <w:numFmt w:val="lowerRoman"/>
      <w:start w:val="1"/>
    </w:lvl>
    <w:lvl w:ilvl="1">
      <w:lvlJc w:val="left"/>
      <w:lvlText w:val="(%2)"/>
      <w:numFmt w:val="decimal"/>
      <w:start w:val="24"/>
    </w:lvl>
  </w:abstractNum>
  <w:abstractNum w:abstractNumId="33">
    <w:nsid w:val="3804823E"/>
    <w:multiLevelType w:val="hybridMultilevel"/>
    <w:lvl w:ilvl="0">
      <w:lvlJc w:val="left"/>
      <w:lvlText w:val="(%1)"/>
      <w:numFmt w:val="lowerRoman"/>
      <w:start w:val="1"/>
    </w:lvl>
    <w:lvl w:ilvl="1">
      <w:lvlJc w:val="left"/>
      <w:lvlText w:val="%2"/>
      <w:numFmt w:val="decimal"/>
      <w:start w:val="1"/>
    </w:lvl>
  </w:abstractNum>
  <w:abstractNum w:abstractNumId="34">
    <w:nsid w:val="77465F01"/>
    <w:multiLevelType w:val="hybridMultilevel"/>
    <w:lvl w:ilvl="0">
      <w:lvlJc w:val="left"/>
      <w:lvlText w:val="(%1)"/>
      <w:numFmt w:val="lowerRoman"/>
      <w:start w:val="1"/>
    </w:lvl>
    <w:lvl w:ilvl="1">
      <w:lvlJc w:val="left"/>
      <w:lvlText w:val="%2"/>
      <w:numFmt w:val="decimal"/>
      <w:start w:val="1"/>
    </w:lvl>
  </w:abstractNum>
  <w:abstractNum w:abstractNumId="35">
    <w:nsid w:val="7724C67E"/>
    <w:multiLevelType w:val="hybridMultilevel"/>
    <w:lvl w:ilvl="0">
      <w:lvlJc w:val="left"/>
      <w:lvlText w:val="(%1)"/>
      <w:numFmt w:val="decimal"/>
      <w:start w:val="25"/>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1"/>
      <w:numFmt w:val="lowerRoman"/>
      <w:start w:val="1"/>
    </w:lvl>
    <w:lvl w:ilvl="1">
      <w:lvlJc w:val="left"/>
      <w:lvlText w:val="(%2)"/>
      <w:numFmt w:val="decimal"/>
      <w:start w:val="26"/>
    </w:lvl>
  </w:abstractNum>
  <w:abstractNum w:abstractNumId="38">
    <w:nsid w:val="5E884ADC"/>
    <w:multiLevelType w:val="hybridMultilevel"/>
    <w:lvl w:ilvl="0">
      <w:lvlJc w:val="left"/>
      <w:lvlText w:val="(%1)"/>
      <w:numFmt w:val="lowerRoman"/>
      <w:start w:val="4"/>
    </w:lvl>
    <w:lvl w:ilvl="1">
      <w:lvlJc w:val="left"/>
      <w:lvlText w:val="(%2)"/>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2026-05-21T09:32:43Z</dcterms:created>
  <dcterms:modified xsi:type="dcterms:W3CDTF">2026-05-21T09:32:43Z</dcterms:modified>
</cp:coreProperties>
</file>