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6207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62076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PureTech Health plc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960" w:type="dxa"/>
            <w:vAlign w:val="bottom"/>
            <w:tcBorders>
              <w:top w:val="single" w:sz="8" w:color="0000EE"/>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04/30/2026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Seaport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SPTX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2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6 TIDE STREET, SUITE 400</w:t>
            </w:r>
          </w:p>
        </w:tc>
      </w:tr>
      <w:tr>
        <w:trPr>
          <w:trHeight w:val="237"/>
        </w:trPr>
        <w:tc>
          <w:tcPr>
            <w:tcW w:w="94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w:t>
            </w:r>
          </w:p>
        </w:tc>
        <w:tc>
          <w:tcPr>
            <w:tcW w:w="86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MA</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02210</w:t>
            </w:r>
          </w:p>
        </w:tc>
      </w:tr>
      <w:tr>
        <w:trPr>
          <w:trHeight w:val="177"/>
        </w:trPr>
        <w:tc>
          <w:tcPr>
            <w:tcW w:w="9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860" w:type="dxa"/>
            <w:vAlign w:val="bottom"/>
          </w:tcPr>
          <w:p>
            <w:pPr>
              <w:ind w:left="12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gridSpan w:val="6"/>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Arial" w:cs="Arial" w:eastAsia="Arial" w:hAnsi="Arial"/>
                <w:sz w:val="15"/>
                <w:szCs w:val="15"/>
                <w:b w:val="1"/>
                <w:bCs w:val="1"/>
                <w:color w:val="auto"/>
              </w:rPr>
              <w:t>2. Amount of Securities</w:t>
            </w:r>
          </w:p>
        </w:tc>
        <w:tc>
          <w:tcPr>
            <w:tcW w:w="1560" w:type="dxa"/>
            <w:vAlign w:val="bottom"/>
            <w:gridSpan w:val="2"/>
          </w:tcPr>
          <w:p>
            <w:pPr>
              <w:ind w:left="3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80" w:type="dxa"/>
            <w:vAlign w:val="bottom"/>
            <w:gridSpan w:val="3"/>
          </w:tcPr>
          <w:p>
            <w:pPr>
              <w:ind w:left="12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140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w w:val="97"/>
              </w:rPr>
              <w:t>Ownership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4)</w:t>
            </w:r>
          </w:p>
        </w:tc>
        <w:tc>
          <w:tcPr>
            <w:tcW w:w="156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(D) or Indirect</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60" w:type="dxa"/>
            <w:vAlign w:val="bottom"/>
            <w:gridSpan w:val="2"/>
          </w:tcPr>
          <w:p>
            <w:pPr>
              <w:ind w:left="380"/>
              <w:spacing w:after="0"/>
              <w:rPr>
                <w:sz w:val="20"/>
                <w:szCs w:val="20"/>
                <w:color w:val="auto"/>
              </w:rPr>
            </w:pPr>
            <w:r>
              <w:rPr>
                <w:rFonts w:ascii="Arial" w:cs="Arial" w:eastAsia="Arial" w:hAnsi="Arial"/>
                <w:sz w:val="15"/>
                <w:szCs w:val="15"/>
                <w:b w:val="1"/>
                <w:bCs w:val="1"/>
                <w:color w:val="auto"/>
              </w:rPr>
              <w:t>(I) (Instr. 5)</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5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760"/>
              <w:spacing w:after="0"/>
              <w:rPr>
                <w:sz w:val="20"/>
                <w:szCs w:val="20"/>
                <w:color w:val="auto"/>
              </w:rPr>
            </w:pPr>
            <w:r>
              <w:rPr>
                <w:rFonts w:ascii="Times New Roman" w:cs="Times New Roman" w:eastAsia="Times New Roman" w:hAnsi="Times New Roman"/>
                <w:sz w:val="20"/>
                <w:szCs w:val="20"/>
                <w:color w:val="0000FF"/>
              </w:rPr>
              <w:t>302,479</w:t>
            </w:r>
          </w:p>
        </w:tc>
        <w:tc>
          <w:tcPr>
            <w:tcW w:w="980" w:type="dxa"/>
            <w:vAlign w:val="bottom"/>
            <w:tcBorders>
              <w:bottom w:val="single" w:sz="8" w:color="2C2C2C"/>
            </w:tcBorders>
          </w:tcPr>
          <w:p>
            <w:pPr>
              <w:ind w:left="86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260" w:type="dxa"/>
            <w:vAlign w:val="bottom"/>
            <w:tcBorders>
              <w:top w:val="single" w:sz="8" w:color="2C2C2C"/>
            </w:tcBorders>
            <w:gridSpan w:val="7"/>
          </w:tcPr>
          <w:p>
            <w:pPr>
              <w:ind w:left="2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380" w:type="dxa"/>
            <w:vAlign w:val="bottom"/>
            <w:gridSpan w:val="8"/>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6"/>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20" w:type="dxa"/>
            <w:vAlign w:val="bottom"/>
          </w:tcPr>
          <w:p>
            <w:pPr>
              <w:spacing w:after="0"/>
              <w:rPr>
                <w:sz w:val="18"/>
                <w:szCs w:val="18"/>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0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gridSpan w:val="2"/>
          </w:tcPr>
          <w:p>
            <w:pPr>
              <w:ind w:left="2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98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9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gridSpan w:val="6"/>
          </w:tcPr>
          <w:p>
            <w:pPr>
              <w:ind w:left="80"/>
              <w:spacing w:after="0"/>
              <w:rPr>
                <w:sz w:val="20"/>
                <w:szCs w:val="20"/>
                <w:color w:val="auto"/>
              </w:rPr>
            </w:pPr>
            <w:r>
              <w:rPr>
                <w:rFonts w:ascii="Times New Roman" w:cs="Times New Roman" w:eastAsia="Times New Roman" w:hAnsi="Times New Roman"/>
                <w:sz w:val="20"/>
                <w:szCs w:val="20"/>
                <w:color w:val="0000FF"/>
              </w:rPr>
              <w:t>Series A-1 Preferred Stock</w:t>
            </w:r>
          </w:p>
        </w:tc>
        <w:tc>
          <w:tcPr>
            <w:tcW w:w="1100" w:type="dxa"/>
            <w:vAlign w:val="bottom"/>
            <w:tcBorders>
              <w:bottom w:val="single" w:sz="8" w:color="2C2C2C"/>
            </w:tcBorders>
            <w:gridSpan w:val="2"/>
          </w:tcPr>
          <w:p>
            <w:pPr>
              <w:jc w:val="right"/>
              <w:ind w:right="343"/>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18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Common Stock</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12,736,014</w:t>
            </w:r>
          </w:p>
        </w:tc>
        <w:tc>
          <w:tcPr>
            <w:tcW w:w="5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w w:val="92"/>
              </w:rPr>
              <w:t>(2)</w:t>
            </w:r>
          </w:p>
        </w:tc>
        <w:tc>
          <w:tcPr>
            <w:tcW w:w="4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3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gridSpan w:val="6"/>
          </w:tcPr>
          <w:p>
            <w:pPr>
              <w:ind w:left="80"/>
              <w:spacing w:after="0"/>
              <w:rPr>
                <w:sz w:val="20"/>
                <w:szCs w:val="20"/>
                <w:color w:val="auto"/>
              </w:rPr>
            </w:pPr>
            <w:r>
              <w:rPr>
                <w:rFonts w:ascii="Times New Roman" w:cs="Times New Roman" w:eastAsia="Times New Roman" w:hAnsi="Times New Roman"/>
                <w:sz w:val="20"/>
                <w:szCs w:val="20"/>
                <w:color w:val="0000FF"/>
              </w:rPr>
              <w:t>Series A-2 Preferred Stock</w:t>
            </w:r>
          </w:p>
        </w:tc>
        <w:tc>
          <w:tcPr>
            <w:tcW w:w="1100" w:type="dxa"/>
            <w:vAlign w:val="bottom"/>
            <w:tcBorders>
              <w:bottom w:val="single" w:sz="8" w:color="2C2C2C"/>
            </w:tcBorders>
            <w:gridSpan w:val="2"/>
          </w:tcPr>
          <w:p>
            <w:pPr>
              <w:jc w:val="right"/>
              <w:ind w:right="343"/>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18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Common Stock</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2,681,265</w:t>
            </w:r>
          </w:p>
        </w:tc>
        <w:tc>
          <w:tcPr>
            <w:tcW w:w="5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w w:val="92"/>
              </w:rPr>
              <w:t>(2)</w:t>
            </w:r>
          </w:p>
        </w:tc>
        <w:tc>
          <w:tcPr>
            <w:tcW w:w="4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3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6"/>
          </w:tcPr>
          <w:p>
            <w:pPr>
              <w:ind w:left="80"/>
              <w:spacing w:after="0"/>
              <w:rPr>
                <w:sz w:val="20"/>
                <w:szCs w:val="20"/>
                <w:color w:val="auto"/>
              </w:rPr>
            </w:pPr>
            <w:r>
              <w:rPr>
                <w:rFonts w:ascii="Times New Roman" w:cs="Times New Roman" w:eastAsia="Times New Roman" w:hAnsi="Times New Roman"/>
                <w:sz w:val="20"/>
                <w:szCs w:val="20"/>
                <w:color w:val="0000FF"/>
              </w:rPr>
              <w:t>Series B Preferred Stock</w:t>
            </w:r>
          </w:p>
        </w:tc>
        <w:tc>
          <w:tcPr>
            <w:tcW w:w="1100" w:type="dxa"/>
            <w:vAlign w:val="bottom"/>
            <w:tcBorders>
              <w:bottom w:val="single" w:sz="8" w:color="2C2C2C"/>
            </w:tcBorders>
            <w:gridSpan w:val="2"/>
          </w:tcPr>
          <w:p>
            <w:pPr>
              <w:jc w:val="right"/>
              <w:ind w:right="343"/>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18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Common Stock</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965,255</w:t>
            </w:r>
          </w:p>
        </w:tc>
        <w:tc>
          <w:tcPr>
            <w:tcW w:w="5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w w:val="92"/>
              </w:rPr>
              <w:t>(2)</w:t>
            </w:r>
          </w:p>
        </w:tc>
        <w:tc>
          <w:tcPr>
            <w:tcW w:w="4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38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86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4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4"/>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PureTech Health plc</w:t>
              </w:r>
            </w:hyperlink>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580" w:type="dxa"/>
            <w:vAlign w:val="bottom"/>
            <w:tcBorders>
              <w:top w:val="single" w:sz="8" w:color="0000EE"/>
              <w:bottom w:val="single" w:sz="8" w:color="9A9A9A"/>
            </w:tcBorders>
          </w:tcPr>
          <w:p>
            <w:pPr>
              <w:spacing w:after="0"/>
              <w:rPr>
                <w:sz w:val="17"/>
                <w:szCs w:val="17"/>
                <w:color w:val="auto"/>
              </w:rPr>
            </w:pPr>
          </w:p>
        </w:tc>
        <w:tc>
          <w:tcPr>
            <w:tcW w:w="100" w:type="dxa"/>
            <w:vAlign w:val="bottom"/>
            <w:tcBorders>
              <w:top w:val="single" w:sz="8" w:color="0000EE"/>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3"/>
          </w:tcPr>
          <w:p>
            <w:pPr>
              <w:ind w:left="100"/>
              <w:spacing w:after="0"/>
              <w:rPr>
                <w:sz w:val="20"/>
                <w:szCs w:val="20"/>
                <w:color w:val="auto"/>
              </w:rPr>
            </w:pPr>
            <w:r>
              <w:rPr>
                <w:rFonts w:ascii="Arial" w:cs="Arial" w:eastAsia="Arial" w:hAnsi="Arial"/>
                <w:sz w:val="15"/>
                <w:szCs w:val="15"/>
                <w:color w:val="auto"/>
              </w:rPr>
              <w:t>(First)</w:t>
            </w:r>
          </w:p>
        </w:tc>
        <w:tc>
          <w:tcPr>
            <w:tcW w:w="1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5"/>
                <w:szCs w:val="15"/>
                <w:color w:val="auto"/>
              </w:rPr>
              <w:t>(Middle)</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6 TIDE STREET, SUITE 400</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58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6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BOSTON</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02210</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gridSpan w:val="3"/>
          </w:tcPr>
          <w:p>
            <w:pPr>
              <w:ind w:left="100"/>
              <w:spacing w:after="0"/>
              <w:rPr>
                <w:sz w:val="20"/>
                <w:szCs w:val="20"/>
                <w:color w:val="auto"/>
              </w:rPr>
            </w:pPr>
            <w:r>
              <w:rPr>
                <w:rFonts w:ascii="Arial" w:cs="Arial" w:eastAsia="Arial" w:hAnsi="Arial"/>
                <w:sz w:val="15"/>
                <w:szCs w:val="15"/>
                <w:color w:val="auto"/>
              </w:rPr>
              <w:t>(State)</w:t>
            </w:r>
          </w:p>
        </w:tc>
        <w:tc>
          <w:tcPr>
            <w:tcW w:w="1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5"/>
                <w:szCs w:val="15"/>
                <w:color w:val="auto"/>
              </w:rPr>
              <w:t>(Zip)</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gridSpan w:val="3"/>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86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4"/>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PureTech LYT, Inc.</w:t>
              </w:r>
            </w:hyperlink>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580" w:type="dxa"/>
            <w:vAlign w:val="bottom"/>
            <w:tcBorders>
              <w:top w:val="single" w:sz="8" w:color="0000EE"/>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3"/>
          </w:tcPr>
          <w:p>
            <w:pPr>
              <w:ind w:left="100"/>
              <w:spacing w:after="0"/>
              <w:rPr>
                <w:sz w:val="20"/>
                <w:szCs w:val="20"/>
                <w:color w:val="auto"/>
              </w:rPr>
            </w:pPr>
            <w:r>
              <w:rPr>
                <w:rFonts w:ascii="Arial" w:cs="Arial" w:eastAsia="Arial" w:hAnsi="Arial"/>
                <w:sz w:val="15"/>
                <w:szCs w:val="15"/>
                <w:color w:val="auto"/>
              </w:rPr>
              <w:t>(First)</w:t>
            </w:r>
          </w:p>
        </w:tc>
        <w:tc>
          <w:tcPr>
            <w:tcW w:w="1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5"/>
                <w:szCs w:val="15"/>
                <w:color w:val="auto"/>
              </w:rPr>
              <w:t>(Middle)</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6 TIDE STREET, SUITE 400</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58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6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BOSTON</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02210</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gridSpan w:val="3"/>
          </w:tcPr>
          <w:p>
            <w:pPr>
              <w:ind w:left="100"/>
              <w:spacing w:after="0"/>
              <w:rPr>
                <w:sz w:val="20"/>
                <w:szCs w:val="20"/>
                <w:color w:val="auto"/>
              </w:rPr>
            </w:pPr>
            <w:r>
              <w:rPr>
                <w:rFonts w:ascii="Arial" w:cs="Arial" w:eastAsia="Arial" w:hAnsi="Arial"/>
                <w:sz w:val="15"/>
                <w:szCs w:val="15"/>
                <w:color w:val="auto"/>
              </w:rPr>
              <w:t>(State)</w:t>
            </w:r>
          </w:p>
        </w:tc>
        <w:tc>
          <w:tcPr>
            <w:tcW w:w="1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5"/>
                <w:szCs w:val="15"/>
                <w:color w:val="auto"/>
              </w:rPr>
              <w:t>(Zip)</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ectPr>
          <w:pgSz w:w="11900" w:h="16838" w:orient="portrait"/>
          <w:cols w:equalWidth="0" w:num="1">
            <w:col w:w="10940"/>
          </w:cols>
          <w:pgMar w:left="480" w:top="230" w:right="479" w:bottom="0" w:gutter="0" w:footer="0" w:header="0"/>
          <w:type w:val="continuous"/>
        </w:sectPr>
      </w:pPr>
    </w:p>
    <w:bookmarkStart w:id="1" w:name="page2"/>
    <w:bookmarkEnd w:id="1"/>
    <w:p>
      <w:pPr>
        <w:ind w:right="100" w:firstLine="5"/>
        <w:spacing w:after="0" w:line="25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PureTech LYT, Inc. is the record holder of all of the securities reported in this Form 3. PureTech Health LLC is the sole owner of PureTech LYT, Inc. PureTech Health plc is the sole member of PureTech Health LLC, and has the power to direct the voting and disposition of securities held by PureTech LYT, Inc. and PureTech Health LLC.</w:t>
      </w:r>
    </w:p>
    <w:p>
      <w:pPr>
        <w:spacing w:after="0" w:line="17" w:lineRule="exact"/>
        <w:rPr>
          <w:rFonts w:ascii="Times New Roman" w:cs="Times New Roman" w:eastAsia="Times New Roman" w:hAnsi="Times New Roman"/>
          <w:sz w:val="15"/>
          <w:szCs w:val="15"/>
          <w:color w:val="008000"/>
        </w:rPr>
      </w:pPr>
    </w:p>
    <w:p>
      <w:pPr>
        <w:ind w:right="380" w:firstLine="5"/>
        <w:spacing w:after="0" w:line="249" w:lineRule="auto"/>
        <w:tabs>
          <w:tab w:leader="none" w:pos="15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of Issuer's preferred stock have no expiration date and are convertible at the holder's election into Issuer's common stock. The preferred stock will automatically convert into shares of the Issuer's common stock, for no additional consideration, upon the closing of the Issuer's initial public offering.</w:t>
      </w:r>
    </w:p>
    <w:p>
      <w:pPr>
        <w:ind w:left="6540"/>
        <w:spacing w:after="0" w:line="232" w:lineRule="auto"/>
        <w:tabs>
          <w:tab w:leader="none" w:pos="8700" w:val="left"/>
        </w:tabs>
        <w:rPr>
          <w:sz w:val="20"/>
          <w:szCs w:val="20"/>
          <w:color w:val="auto"/>
        </w:rPr>
      </w:pPr>
      <w:r>
        <w:rPr>
          <w:rFonts w:ascii="Times New Roman" w:cs="Times New Roman" w:eastAsia="Times New Roman" w:hAnsi="Times New Roman"/>
          <w:sz w:val="20"/>
          <w:szCs w:val="20"/>
          <w:color w:val="0000FF"/>
        </w:rPr>
        <w:t>PureTech LYT, Inc., By:</w:t>
      </w:r>
      <w:r>
        <w:rPr>
          <w:sz w:val="20"/>
          <w:szCs w:val="20"/>
          <w:color w:val="auto"/>
        </w:rPr>
        <w:tab/>
      </w:r>
      <w:r>
        <w:rPr>
          <w:rFonts w:ascii="Times New Roman" w:cs="Times New Roman" w:eastAsia="Times New Roman" w:hAnsi="Times New Roman"/>
          <w:sz w:val="29"/>
          <w:szCs w:val="29"/>
          <w:color w:val="0000FF"/>
          <w:vertAlign w:val="subscript"/>
        </w:rPr>
        <w:t>04/30/2026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-31115</wp:posOffset>
            </wp:positionV>
            <wp:extent cx="120840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12084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 Robert Lyne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-25400</wp:posOffset>
            </wp:positionV>
            <wp:extent cx="76390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763905" cy="9525"/>
                    </a:xfrm>
                    <a:prstGeom prst="rect">
                      <a:avLst/>
                    </a:prstGeom>
                    <a:noFill/>
                  </pic:spPr>
                </pic:pic>
              </a:graphicData>
            </a:graphic>
          </wp:anchor>
        </w:drawing>
        <w:drawing>
          <wp:anchor simplePos="0" relativeHeight="251657728" behindDoc="1" locked="0" layoutInCell="0" allowOverlap="1">
            <wp:simplePos x="0" y="0"/>
            <wp:positionH relativeFrom="column">
              <wp:posOffset>5539740</wp:posOffset>
            </wp:positionH>
            <wp:positionV relativeFrom="paragraph">
              <wp:posOffset>-101600</wp:posOffset>
            </wp:positionV>
            <wp:extent cx="56451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ind w:left="6540"/>
        <w:spacing w:after="0" w:line="185" w:lineRule="auto"/>
        <w:rPr>
          <w:sz w:val="20"/>
          <w:szCs w:val="20"/>
          <w:color w:val="auto"/>
        </w:rPr>
      </w:pPr>
      <w:r>
        <w:rPr>
          <w:rFonts w:ascii="Times New Roman" w:cs="Times New Roman" w:eastAsia="Times New Roman" w:hAnsi="Times New Roman"/>
          <w:sz w:val="18"/>
          <w:szCs w:val="18"/>
          <w:color w:val="0000FF"/>
        </w:rPr>
        <w:t xml:space="preserve">PureTech Health LLC, By: </w:t>
      </w:r>
      <w:r>
        <w:rPr>
          <w:rFonts w:ascii="Times New Roman" w:cs="Times New Roman" w:eastAsia="Times New Roman" w:hAnsi="Times New Roman"/>
          <w:sz w:val="35"/>
          <w:szCs w:val="35"/>
          <w:color w:val="0000FF"/>
          <w:vertAlign w:val="subscript"/>
        </w:rPr>
        <w:t>04/30/2026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-31750</wp:posOffset>
            </wp:positionV>
            <wp:extent cx="133286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86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 Robert Lyne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-25400</wp:posOffset>
            </wp:positionV>
            <wp:extent cx="76390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63905" cy="9525"/>
                    </a:xfrm>
                    <a:prstGeom prst="rect">
                      <a:avLst/>
                    </a:prstGeom>
                    <a:noFill/>
                  </pic:spPr>
                </pic:pic>
              </a:graphicData>
            </a:graphic>
          </wp:anchor>
        </w:drawing>
        <w:drawing>
          <wp:anchor simplePos="0" relativeHeight="251657728" behindDoc="1" locked="0" layoutInCell="0" allowOverlap="1">
            <wp:simplePos x="0" y="0"/>
            <wp:positionH relativeFrom="column">
              <wp:posOffset>5539740</wp:posOffset>
            </wp:positionH>
            <wp:positionV relativeFrom="paragraph">
              <wp:posOffset>-101600</wp:posOffset>
            </wp:positionV>
            <wp:extent cx="56451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PureTech Health plc, By: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04/30/2026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20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4"/>
              </w:rPr>
              <w:t>/s/ Robert Lyne</w:t>
            </w:r>
          </w:p>
        </w:tc>
        <w:tc>
          <w:tcPr>
            <w:tcW w:w="760" w:type="dxa"/>
            <w:vAlign w:val="bottom"/>
            <w:tcBorders>
              <w:top w:val="single" w:sz="8" w:color="auto"/>
              <w:bottom w:val="single" w:sz="8" w:color="auto"/>
            </w:tcBorders>
            <w:vMerge w:val="restart"/>
          </w:tcPr>
          <w:p>
            <w:pPr>
              <w:spacing w:after="0"/>
              <w:rPr>
                <w:sz w:val="8"/>
                <w:szCs w:val="8"/>
                <w:color w:val="auto"/>
              </w:rPr>
            </w:pPr>
          </w:p>
        </w:tc>
        <w:tc>
          <w:tcPr>
            <w:tcW w:w="2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10" Type="http://schemas.openxmlformats.org/officeDocument/2006/relationships/hyperlink" Target="http://www.sec.gov/cgi-bin/browse-edgar?action=getcompany&amp;CIK=0001782999" TargetMode="External"/><Relationship Id="rId11" Type="http://schemas.openxmlformats.org/officeDocument/2006/relationships/hyperlink" Target="http://www.sec.gov/cgi-bin/browse-edgar?action=getcompany&amp;CIK=0002042347" TargetMode="External"/><Relationship Id="rId13" Type="http://schemas.openxmlformats.org/officeDocument/2006/relationships/hyperlink" Target="http://www.sec.gov/cgi-bin/browse-edgar?action=getcompany&amp;CIK=00021318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2026-04-30T20:37:15Z</dcterms:created>
  <dcterms:modified xsi:type="dcterms:W3CDTF">2026-04-30T20:37:15Z</dcterms:modified>
</cp:coreProperties>
</file>